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DEDF" w14:textId="77777777" w:rsidR="001A0465" w:rsidRPr="001A0465" w:rsidRDefault="001A0465" w:rsidP="001A0465">
      <w:pPr>
        <w:pStyle w:val="Heading1"/>
      </w:pPr>
      <w:r w:rsidRPr="001A0465">
        <w:t xml:space="preserve">ASD Specialty Healthcare, LLC v. Lewis, et. </w:t>
      </w:r>
      <w:proofErr w:type="gramStart"/>
      <w:r w:rsidRPr="001A0465">
        <w:t>al</w:t>
      </w:r>
      <w:proofErr w:type="gramEnd"/>
      <w:r w:rsidRPr="001A0465">
        <w:t>.</w:t>
      </w:r>
    </w:p>
    <w:p w14:paraId="0197D247" w14:textId="77777777" w:rsidR="001A0465" w:rsidRPr="001A0465" w:rsidRDefault="001A0465" w:rsidP="001A0465">
      <w:pPr>
        <w:ind w:firstLine="0"/>
        <w:rPr>
          <w:rFonts w:eastAsia="Calibri"/>
          <w:b/>
          <w:bCs/>
        </w:rPr>
      </w:pPr>
      <w:r w:rsidRPr="001A0465">
        <w:rPr>
          <w:rFonts w:eastAsia="Calibri"/>
          <w:b/>
          <w:bCs/>
        </w:rPr>
        <w:t>B.T.A. Docket No. L01863</w:t>
      </w:r>
    </w:p>
    <w:p w14:paraId="2A7DF91D" w14:textId="77777777" w:rsidR="001A0465" w:rsidRPr="001A0465" w:rsidRDefault="001A0465" w:rsidP="001A0465">
      <w:pPr>
        <w:pStyle w:val="Heading2"/>
      </w:pPr>
      <w:bookmarkStart w:id="0" w:name="_Hlk226547517"/>
      <w:r w:rsidRPr="001A0465">
        <w:t>Order on Motion to Continue and Written Reasons</w:t>
      </w:r>
    </w:p>
    <w:bookmarkEnd w:id="0"/>
    <w:p w14:paraId="4002E65E" w14:textId="0C1D9046" w:rsidR="00813E59" w:rsidRPr="001A0465" w:rsidRDefault="00544106" w:rsidP="001A0465">
      <w:r w:rsidRPr="001A0465">
        <w:t>On February 12, 2026, this matter</w:t>
      </w:r>
      <w:r w:rsidRPr="001A0465">
        <w:rPr>
          <w:rStyle w:val="FootnoteReference"/>
          <w:vertAlign w:val="baseline"/>
        </w:rPr>
        <w:footnoteReference w:id="1"/>
      </w:r>
      <w:r w:rsidRPr="001A0465">
        <w:t xml:space="preserve"> came before for the Board for hearing on the Motion to Continue filed by ASD Specialty Healthcare, LLC (</w:t>
      </w:r>
      <w:r w:rsidR="00743B9C" w:rsidRPr="001A0465">
        <w:t>“</w:t>
      </w:r>
      <w:r w:rsidRPr="001A0465">
        <w:t>ASD</w:t>
      </w:r>
      <w:r w:rsidR="00743B9C" w:rsidRPr="001A0465">
        <w:t>”</w:t>
      </w:r>
      <w:r w:rsidRPr="001A0465">
        <w:t xml:space="preserve">), with Local Tax Judge Francis J. </w:t>
      </w:r>
      <w:r w:rsidR="00743B9C" w:rsidRPr="001A0465">
        <w:t>“</w:t>
      </w:r>
      <w:r w:rsidRPr="001A0465">
        <w:t>Jay</w:t>
      </w:r>
      <w:r w:rsidR="00743B9C" w:rsidRPr="001A0465">
        <w:t>”</w:t>
      </w:r>
      <w:r w:rsidRPr="001A0465">
        <w:t xml:space="preserve"> Lobrano presiding. Appearing before the Board were: Andre Burvant and Bill Backstrom, attorneys for ASD; Drew Talbot, attorney for </w:t>
      </w:r>
      <w:r w:rsidR="006C2871" w:rsidRPr="001A0465">
        <w:t xml:space="preserve">Timothy T. Lewis, Director, City of Monroe Taxation &amp; Revenue Division, City of Monroe Taxation &amp; Revenue Division </w:t>
      </w:r>
      <w:r w:rsidRPr="001A0465">
        <w:t>(</w:t>
      </w:r>
      <w:r w:rsidR="00743B9C" w:rsidRPr="001A0465">
        <w:t>“</w:t>
      </w:r>
      <w:r w:rsidR="006C2871" w:rsidRPr="001A0465">
        <w:t>Monroe</w:t>
      </w:r>
      <w:r w:rsidR="00743B9C" w:rsidRPr="001A0465">
        <w:t>”</w:t>
      </w:r>
      <w:r w:rsidRPr="001A0465">
        <w:t>); and Sydnee Menou, attorney for the Louisiana Sales and Use Tax Commission for Remote Sellers (</w:t>
      </w:r>
      <w:r w:rsidR="00743B9C" w:rsidRPr="001A0465">
        <w:t>“</w:t>
      </w:r>
      <w:r w:rsidRPr="001A0465">
        <w:t>RSC</w:t>
      </w:r>
      <w:r w:rsidR="00743B9C" w:rsidRPr="001A0465">
        <w:t>”</w:t>
      </w:r>
      <w:r w:rsidRPr="001A0465">
        <w:t>).</w:t>
      </w:r>
      <w:r w:rsidR="00CF4DB9" w:rsidRPr="001A0465">
        <w:t xml:space="preserve"> </w:t>
      </w:r>
      <w:r w:rsidR="00B77CFE" w:rsidRPr="001A0465">
        <w:t xml:space="preserve">The Board now renders the following Order in accordance with the attached written reasons:  </w:t>
      </w:r>
    </w:p>
    <w:p w14:paraId="4A4C85EE" w14:textId="1E6E60C0" w:rsidR="00813E59" w:rsidRPr="001A0465" w:rsidRDefault="001A0465" w:rsidP="001A0465">
      <w:r w:rsidRPr="001A0465">
        <w:rPr>
          <w:bCs/>
        </w:rPr>
        <w:t>It is Ordered</w:t>
      </w:r>
      <w:r w:rsidRPr="001A0465">
        <w:rPr>
          <w:b/>
        </w:rPr>
        <w:t xml:space="preserve"> </w:t>
      </w:r>
      <w:r w:rsidRPr="001A0465">
        <w:t>that ASD’s Motion to Continue be and is hereby Denied</w:t>
      </w:r>
      <w:r w:rsidR="00B77CFE" w:rsidRPr="00743B9C">
        <w:rPr>
          <w:rFonts w:ascii="Century Schoolbook" w:hAnsi="Century Schoolbook"/>
          <w:szCs w:val="24"/>
        </w:rPr>
        <w:t xml:space="preserve">. </w:t>
      </w:r>
    </w:p>
    <w:p w14:paraId="67A5DAB7" w14:textId="77777777" w:rsidR="001A0465" w:rsidRPr="001A0465" w:rsidRDefault="001A0465" w:rsidP="001A0465">
      <w:pPr>
        <w:rPr>
          <w:b/>
          <w:bCs/>
        </w:rPr>
      </w:pPr>
      <w:r w:rsidRPr="001A0465">
        <w:rPr>
          <w:b/>
          <w:bCs/>
        </w:rPr>
        <w:t xml:space="preserve">So </w:t>
      </w:r>
      <w:proofErr w:type="gramStart"/>
      <w:r w:rsidRPr="001A0465">
        <w:rPr>
          <w:b/>
          <w:bCs/>
        </w:rPr>
        <w:t>Ordered</w:t>
      </w:r>
      <w:proofErr w:type="gramEnd"/>
      <w:r w:rsidRPr="001A0465">
        <w:rPr>
          <w:b/>
          <w:bCs/>
        </w:rPr>
        <w:t xml:space="preserve"> at Baton Rouge, Louisiana, this 18</w:t>
      </w:r>
      <w:r w:rsidRPr="001A0465">
        <w:rPr>
          <w:b/>
          <w:bCs/>
          <w:vertAlign w:val="superscript"/>
        </w:rPr>
        <w:t>th</w:t>
      </w:r>
      <w:r w:rsidRPr="001A0465">
        <w:rPr>
          <w:b/>
          <w:bCs/>
        </w:rPr>
        <w:t xml:space="preserve"> day of </w:t>
      </w:r>
      <w:proofErr w:type="gramStart"/>
      <w:r w:rsidRPr="001A0465">
        <w:rPr>
          <w:b/>
          <w:bCs/>
        </w:rPr>
        <w:t>February,</w:t>
      </w:r>
      <w:proofErr w:type="gramEnd"/>
      <w:r w:rsidRPr="001A0465">
        <w:rPr>
          <w:b/>
          <w:bCs/>
        </w:rPr>
        <w:t xml:space="preserve"> 2026. </w:t>
      </w:r>
    </w:p>
    <w:p w14:paraId="60C4807C" w14:textId="77777777" w:rsidR="001A0465" w:rsidRPr="001A0465" w:rsidRDefault="001A0465" w:rsidP="001A0465">
      <w:pPr>
        <w:spacing w:line="360" w:lineRule="auto"/>
        <w:rPr>
          <w:b/>
          <w:bCs/>
        </w:rPr>
      </w:pPr>
      <w:r w:rsidRPr="001A0465">
        <w:rPr>
          <w:b/>
          <w:bCs/>
        </w:rPr>
        <w:t xml:space="preserve">Francis J. “Jay” Lobrano, Local Tax Judge, </w:t>
      </w:r>
    </w:p>
    <w:p w14:paraId="2124A62F" w14:textId="3014A557" w:rsidR="00813E59" w:rsidRPr="001A0465" w:rsidRDefault="001A0465" w:rsidP="001A0465">
      <w:pPr>
        <w:spacing w:line="360" w:lineRule="auto"/>
        <w:rPr>
          <w:rFonts w:ascii="Century Schoolbook" w:hAnsi="Century Schoolbook"/>
          <w:b/>
          <w:bCs/>
          <w:szCs w:val="24"/>
        </w:rPr>
      </w:pPr>
      <w:r w:rsidRPr="001A0465">
        <w:rPr>
          <w:b/>
          <w:bCs/>
        </w:rPr>
        <w:t>Louisiana Board of Tax Appeals</w:t>
      </w:r>
      <w:r w:rsidRPr="001A0465">
        <w:rPr>
          <w:rFonts w:ascii="Century Schoolbook" w:hAnsi="Century Schoolbook"/>
          <w:b/>
          <w:bCs/>
          <w:szCs w:val="24"/>
        </w:rPr>
        <w:t xml:space="preserve"> </w:t>
      </w:r>
      <w:r w:rsidR="00B77CFE" w:rsidRPr="001A0465">
        <w:rPr>
          <w:rFonts w:ascii="Century Schoolbook" w:hAnsi="Century Schoolbook"/>
          <w:b/>
          <w:bCs/>
          <w:szCs w:val="24"/>
        </w:rPr>
        <w:br w:type="page"/>
      </w:r>
    </w:p>
    <w:p w14:paraId="16081CE3" w14:textId="77777777" w:rsidR="00813E59" w:rsidRPr="00743B9C" w:rsidRDefault="00813E59" w:rsidP="001A0465">
      <w:pPr>
        <w:sectPr w:rsidR="00813E59" w:rsidRPr="00743B9C" w:rsidSect="001A0465">
          <w:footerReference w:type="default" r:id="rId7"/>
          <w:pgSz w:w="12240" w:h="20160"/>
          <w:pgMar w:top="2160" w:right="1440" w:bottom="1920" w:left="1440" w:header="720" w:footer="1440" w:gutter="0"/>
          <w:cols w:space="720"/>
          <w:docGrid w:linePitch="381"/>
        </w:sectPr>
      </w:pPr>
    </w:p>
    <w:p w14:paraId="602FE085" w14:textId="77777777" w:rsidR="001A0465" w:rsidRPr="001A0465" w:rsidRDefault="001A0465" w:rsidP="001A0465">
      <w:pPr>
        <w:pStyle w:val="Heading2"/>
      </w:pPr>
      <w:r w:rsidRPr="001A0465">
        <w:lastRenderedPageBreak/>
        <w:t>Written Reasons for Order Denying Motion to Continue</w:t>
      </w:r>
    </w:p>
    <w:p w14:paraId="1F3EFAD4" w14:textId="45E21A3D" w:rsidR="00813E59" w:rsidRPr="00743B9C" w:rsidRDefault="006C2871" w:rsidP="001A0465">
      <w:r w:rsidRPr="00743B9C">
        <w:t>On February 12, 2026, this matter</w:t>
      </w:r>
      <w:r w:rsidRPr="00743B9C">
        <w:rPr>
          <w:rStyle w:val="FootnoteReference"/>
          <w:rFonts w:ascii="Century Schoolbook" w:hAnsi="Century Schoolbook"/>
          <w:szCs w:val="24"/>
        </w:rPr>
        <w:footnoteReference w:id="2"/>
      </w:r>
      <w:r w:rsidRPr="00743B9C">
        <w:t xml:space="preserve"> came before for the Board for hearing on the Motion to Continue filed by ASD Specialty Healthcare, LLC (</w:t>
      </w:r>
      <w:r w:rsidR="00743B9C">
        <w:t>“</w:t>
      </w:r>
      <w:r w:rsidRPr="00743B9C">
        <w:t>ASD</w:t>
      </w:r>
      <w:r w:rsidR="00743B9C">
        <w:t>”</w:t>
      </w:r>
      <w:r w:rsidRPr="00743B9C">
        <w:t xml:space="preserve">), with Local Tax Judge Francis J. </w:t>
      </w:r>
      <w:r w:rsidR="00743B9C">
        <w:t>“</w:t>
      </w:r>
      <w:r w:rsidRPr="00743B9C">
        <w:t>Jay</w:t>
      </w:r>
      <w:r w:rsidR="00743B9C">
        <w:t>”</w:t>
      </w:r>
      <w:r w:rsidRPr="00743B9C">
        <w:t xml:space="preserve"> Lobrano presiding. Appearing before the Board were: Andre Burvant and Bill Backstrom, attorneys for ASD; Drew Talbot, attorney for </w:t>
      </w:r>
      <w:bookmarkStart w:id="2" w:name="_Hlk222248917"/>
      <w:r w:rsidRPr="00743B9C">
        <w:t>Timothy T. Lewis, Director, City of Monroe Taxation &amp; Revenue Division, City of Monroe Taxation &amp; Revenue Division (</w:t>
      </w:r>
      <w:r w:rsidR="00743B9C">
        <w:t>“</w:t>
      </w:r>
      <w:r w:rsidRPr="00743B9C">
        <w:t>Monroe</w:t>
      </w:r>
      <w:r w:rsidR="00743B9C">
        <w:t>”</w:t>
      </w:r>
      <w:bookmarkEnd w:id="2"/>
      <w:r w:rsidRPr="00743B9C">
        <w:t>); and Sydnee Menou, attorney for the Louisiana Sales and Use Tax Commission for Remote Sellers (</w:t>
      </w:r>
      <w:r w:rsidR="00743B9C">
        <w:t>“</w:t>
      </w:r>
      <w:r w:rsidRPr="00743B9C">
        <w:t>RSC</w:t>
      </w:r>
      <w:r w:rsidR="00743B9C">
        <w:t>”</w:t>
      </w:r>
      <w:r w:rsidRPr="00743B9C">
        <w:t xml:space="preserve">). </w:t>
      </w:r>
      <w:r w:rsidR="00B77CFE" w:rsidRPr="00743B9C">
        <w:t xml:space="preserve">The Board </w:t>
      </w:r>
      <w:r w:rsidR="003862D1" w:rsidRPr="00743B9C">
        <w:t xml:space="preserve">issues </w:t>
      </w:r>
      <w:r w:rsidR="00B77CFE" w:rsidRPr="00743B9C">
        <w:t>the following reasons</w:t>
      </w:r>
      <w:r w:rsidR="003862D1" w:rsidRPr="00743B9C">
        <w:t xml:space="preserve"> for denying the Motion to </w:t>
      </w:r>
      <w:r w:rsidRPr="00743B9C">
        <w:t>Continue</w:t>
      </w:r>
      <w:r w:rsidR="00B77CFE" w:rsidRPr="00743B9C">
        <w:t>.</w:t>
      </w:r>
    </w:p>
    <w:p w14:paraId="5D0A5A75" w14:textId="4FEADE96" w:rsidR="003862D1" w:rsidRPr="00743B9C" w:rsidRDefault="00B77CFE" w:rsidP="001A0465">
      <w:r w:rsidRPr="00743B9C">
        <w:t xml:space="preserve">This matter is set for a trial on the merits in Baton Rouge, Louisiana, on March 17, 2026. </w:t>
      </w:r>
      <w:r w:rsidR="003862D1" w:rsidRPr="00743B9C">
        <w:t xml:space="preserve">ASD </w:t>
      </w:r>
      <w:r w:rsidRPr="00743B9C">
        <w:t xml:space="preserve">appeals an assessment by </w:t>
      </w:r>
      <w:r w:rsidR="000C792E" w:rsidRPr="00743B9C">
        <w:t xml:space="preserve">Monroe </w:t>
      </w:r>
      <w:r w:rsidRPr="00743B9C">
        <w:t xml:space="preserve">for sales and </w:t>
      </w:r>
      <w:proofErr w:type="gramStart"/>
      <w:r w:rsidRPr="00743B9C">
        <w:t>use</w:t>
      </w:r>
      <w:proofErr w:type="gramEnd"/>
      <w:r w:rsidRPr="00743B9C">
        <w:t xml:space="preserve"> tax for the periods </w:t>
      </w:r>
      <w:r w:rsidR="003862D1" w:rsidRPr="00743B9C">
        <w:t>January 1, 2019, through September 30, 2022 (</w:t>
      </w:r>
      <w:r w:rsidR="00743B9C">
        <w:t>“</w:t>
      </w:r>
      <w:r w:rsidR="003862D1" w:rsidRPr="00743B9C">
        <w:t>Tax Periods</w:t>
      </w:r>
      <w:r w:rsidR="00743B9C">
        <w:t>”</w:t>
      </w:r>
      <w:r w:rsidR="003862D1" w:rsidRPr="00743B9C">
        <w:t>)</w:t>
      </w:r>
      <w:r w:rsidRPr="00743B9C">
        <w:t xml:space="preserve">. </w:t>
      </w:r>
      <w:r w:rsidR="003862D1" w:rsidRPr="00743B9C">
        <w:t xml:space="preserve">ASD </w:t>
      </w:r>
      <w:r w:rsidRPr="00743B9C">
        <w:t xml:space="preserve">filed its petition in this matter </w:t>
      </w:r>
      <w:r w:rsidR="003862D1" w:rsidRPr="00743B9C">
        <w:t xml:space="preserve">on </w:t>
      </w:r>
      <w:r w:rsidR="006C2871" w:rsidRPr="00743B9C">
        <w:t>September 8</w:t>
      </w:r>
      <w:r w:rsidR="003862D1" w:rsidRPr="00743B9C">
        <w:t xml:space="preserve">, </w:t>
      </w:r>
      <w:r w:rsidRPr="00743B9C">
        <w:t xml:space="preserve">2023.  </w:t>
      </w:r>
      <w:r w:rsidR="003862D1" w:rsidRPr="00743B9C">
        <w:t>ASD</w:t>
      </w:r>
      <w:r w:rsidR="00743B9C">
        <w:t>’</w:t>
      </w:r>
      <w:r w:rsidR="003862D1" w:rsidRPr="00743B9C">
        <w:t xml:space="preserve">s Petition was filed by its Director of Indirect Tax, Matthew Wilk. After </w:t>
      </w:r>
      <w:r w:rsidRPr="00743B9C">
        <w:t xml:space="preserve">the filing of the Petition, </w:t>
      </w:r>
      <w:r w:rsidR="006C2871" w:rsidRPr="00743B9C">
        <w:t>Mo</w:t>
      </w:r>
      <w:r w:rsidR="003862D1" w:rsidRPr="00743B9C">
        <w:t>n</w:t>
      </w:r>
      <w:r w:rsidR="006C2871" w:rsidRPr="00743B9C">
        <w:t>roe</w:t>
      </w:r>
      <w:r w:rsidR="003862D1" w:rsidRPr="00743B9C">
        <w:t xml:space="preserve"> </w:t>
      </w:r>
      <w:r w:rsidRPr="00743B9C">
        <w:t xml:space="preserve">filed </w:t>
      </w:r>
      <w:r w:rsidR="003862D1" w:rsidRPr="00743B9C">
        <w:t xml:space="preserve">an </w:t>
      </w:r>
      <w:r w:rsidRPr="00743B9C">
        <w:t>Answer and Reconventional Demand</w:t>
      </w:r>
      <w:bookmarkStart w:id="3" w:name="_Hlk222239590"/>
      <w:r w:rsidR="006C2871" w:rsidRPr="00743B9C">
        <w:t>.</w:t>
      </w:r>
      <w:r w:rsidR="003862D1" w:rsidRPr="00743B9C">
        <w:t xml:space="preserve"> </w:t>
      </w:r>
      <w:r w:rsidR="006C2871" w:rsidRPr="00743B9C">
        <w:t>T</w:t>
      </w:r>
      <w:r w:rsidRPr="00743B9C">
        <w:t xml:space="preserve">he </w:t>
      </w:r>
      <w:r w:rsidR="003862D1" w:rsidRPr="00743B9C">
        <w:t xml:space="preserve">RSC </w:t>
      </w:r>
      <w:r w:rsidRPr="00743B9C">
        <w:t>intervened</w:t>
      </w:r>
      <w:r w:rsidR="006C2871" w:rsidRPr="00743B9C">
        <w:t xml:space="preserve"> on December 23, 2023</w:t>
      </w:r>
      <w:r w:rsidR="003862D1" w:rsidRPr="00743B9C">
        <w:t>.</w:t>
      </w:r>
      <w:r w:rsidRPr="00743B9C">
        <w:t xml:space="preserve"> </w:t>
      </w:r>
      <w:bookmarkEnd w:id="3"/>
      <w:r w:rsidR="003862D1" w:rsidRPr="00743B9C">
        <w:t>ASD</w:t>
      </w:r>
      <w:r w:rsidR="00743B9C">
        <w:t>’</w:t>
      </w:r>
      <w:r w:rsidR="003862D1" w:rsidRPr="00743B9C">
        <w:t>s current c</w:t>
      </w:r>
      <w:r w:rsidRPr="00743B9C">
        <w:t xml:space="preserve">ounsel enrolled on </w:t>
      </w:r>
      <w:r w:rsidR="009915F8" w:rsidRPr="00743B9C">
        <w:t>February 2</w:t>
      </w:r>
      <w:r w:rsidR="003862D1" w:rsidRPr="00743B9C">
        <w:t xml:space="preserve">, </w:t>
      </w:r>
      <w:r w:rsidRPr="00743B9C">
        <w:t>2024</w:t>
      </w:r>
      <w:r w:rsidR="003862D1" w:rsidRPr="00743B9C">
        <w:t>.</w:t>
      </w:r>
      <w:r w:rsidRPr="00743B9C">
        <w:t xml:space="preserve"> </w:t>
      </w:r>
      <w:r w:rsidR="003862D1" w:rsidRPr="00743B9C">
        <w:t>S</w:t>
      </w:r>
      <w:r w:rsidRPr="00743B9C">
        <w:t xml:space="preserve">ome limited </w:t>
      </w:r>
      <w:proofErr w:type="gramStart"/>
      <w:r w:rsidRPr="00743B9C">
        <w:t>discovery has</w:t>
      </w:r>
      <w:proofErr w:type="gramEnd"/>
      <w:r w:rsidRPr="00743B9C">
        <w:t xml:space="preserve"> been undertaken</w:t>
      </w:r>
      <w:r w:rsidR="003862D1" w:rsidRPr="00743B9C">
        <w:t xml:space="preserve"> since then</w:t>
      </w:r>
      <w:r w:rsidRPr="00743B9C">
        <w:t>.</w:t>
      </w:r>
    </w:p>
    <w:p w14:paraId="1AAA918F" w14:textId="4F66398D" w:rsidR="00D406DC" w:rsidRPr="00743B9C" w:rsidRDefault="00B77CFE" w:rsidP="001A0465">
      <w:r w:rsidRPr="00743B9C">
        <w:lastRenderedPageBreak/>
        <w:t xml:space="preserve">On September 11, 2025, both </w:t>
      </w:r>
      <w:r w:rsidR="00374462" w:rsidRPr="00743B9C">
        <w:t xml:space="preserve">ASD </w:t>
      </w:r>
      <w:r w:rsidRPr="00743B9C">
        <w:t xml:space="preserve">and </w:t>
      </w:r>
      <w:r w:rsidR="00374462" w:rsidRPr="00743B9C">
        <w:t xml:space="preserve">Monroe </w:t>
      </w:r>
      <w:r w:rsidRPr="00743B9C">
        <w:t xml:space="preserve">agreed to </w:t>
      </w:r>
      <w:r w:rsidR="003862D1" w:rsidRPr="00743B9C">
        <w:t>conduct a trial on the merits on</w:t>
      </w:r>
      <w:r w:rsidRPr="00743B9C">
        <w:t xml:space="preserve"> March 17, 2026. </w:t>
      </w:r>
      <w:r w:rsidR="003862D1" w:rsidRPr="00743B9C">
        <w:t xml:space="preserve"> The merits date was agreed upon during a status conference with all parties represented</w:t>
      </w:r>
      <w:r w:rsidR="00D406DC" w:rsidRPr="00743B9C">
        <w:t>.</w:t>
      </w:r>
      <w:r w:rsidR="003862D1" w:rsidRPr="00743B9C">
        <w:t xml:space="preserve"> </w:t>
      </w:r>
      <w:r w:rsidR="00D406DC" w:rsidRPr="00743B9C">
        <w:t>T</w:t>
      </w:r>
      <w:r w:rsidR="003862D1" w:rsidRPr="00743B9C">
        <w:t>he Board issued a Scheduling Order after advising the parties of the Board</w:t>
      </w:r>
      <w:r w:rsidR="00743B9C">
        <w:t>’</w:t>
      </w:r>
      <w:r w:rsidR="003862D1" w:rsidRPr="00743B9C">
        <w:t xml:space="preserve">s standard pre-trial deadlines. </w:t>
      </w:r>
      <w:r w:rsidR="00D406DC" w:rsidRPr="00743B9C">
        <w:t>A copy of the draft Scheduling Order was circulated to counsel by the Board</w:t>
      </w:r>
      <w:r w:rsidR="00743B9C">
        <w:t>’</w:t>
      </w:r>
      <w:r w:rsidR="00D406DC" w:rsidRPr="00743B9C">
        <w:t>s staff and no objections or requests for changes to the standard deadlines were raised by counsel.</w:t>
      </w:r>
    </w:p>
    <w:p w14:paraId="4E29488B" w14:textId="5B6B002B" w:rsidR="00813E59" w:rsidRPr="00743B9C" w:rsidRDefault="00B77CFE" w:rsidP="001A0465">
      <w:bookmarkStart w:id="4" w:name="_Hlk222246407"/>
      <w:r w:rsidRPr="00743B9C">
        <w:t>On December 23, 2025, roughly 8 days prior to the conclusion of the discovery cut</w:t>
      </w:r>
      <w:r w:rsidR="003862D1" w:rsidRPr="00743B9C">
        <w:t>-</w:t>
      </w:r>
      <w:r w:rsidRPr="00743B9C">
        <w:t xml:space="preserve">off date established in the Scheduling Order, </w:t>
      </w:r>
      <w:r w:rsidR="00BE360A" w:rsidRPr="00743B9C">
        <w:t>ASD propounded discovery on Monroe</w:t>
      </w:r>
      <w:r w:rsidR="00D406DC" w:rsidRPr="00743B9C">
        <w:t xml:space="preserve">. </w:t>
      </w:r>
      <w:r w:rsidR="00BE360A" w:rsidRPr="00743B9C">
        <w:t>Therein, ASD sought information, documents, and correspondence relating to any potential audits of ASD</w:t>
      </w:r>
      <w:r w:rsidR="00743B9C">
        <w:t>’</w:t>
      </w:r>
      <w:r w:rsidR="00BE360A" w:rsidRPr="00743B9C">
        <w:t>s customer entities during the Tax Periods</w:t>
      </w:r>
      <w:r w:rsidR="00D406DC" w:rsidRPr="00743B9C">
        <w:t xml:space="preserve">. </w:t>
      </w:r>
      <w:bookmarkEnd w:id="4"/>
      <w:r w:rsidR="00D406DC" w:rsidRPr="00743B9C">
        <w:t>Then, o</w:t>
      </w:r>
      <w:r w:rsidRPr="00743B9C">
        <w:t xml:space="preserve">n February 3, 2026, Taxpayer filed the instant Motion to Continue seeking a continuance of the trial currently set for March 17, 2026. </w:t>
      </w:r>
      <w:r w:rsidR="00D406DC" w:rsidRPr="00743B9C">
        <w:t xml:space="preserve">Both </w:t>
      </w:r>
      <w:r w:rsidR="006C2871" w:rsidRPr="00743B9C">
        <w:t>Monroe</w:t>
      </w:r>
      <w:r w:rsidR="00D406DC" w:rsidRPr="00743B9C">
        <w:t xml:space="preserve"> and the RSC </w:t>
      </w:r>
      <w:r w:rsidRPr="00743B9C">
        <w:t xml:space="preserve">oppose the Motion to Continue. </w:t>
      </w:r>
    </w:p>
    <w:p w14:paraId="20D0D8CF" w14:textId="1485C591" w:rsidR="00813E59" w:rsidRPr="00743B9C" w:rsidRDefault="00B77CFE" w:rsidP="001A0465">
      <w:bookmarkStart w:id="5" w:name="_Hlk222239736"/>
      <w:r w:rsidRPr="00743B9C">
        <w:t xml:space="preserve">In its Motion and </w:t>
      </w:r>
      <w:r w:rsidR="00CD01CF" w:rsidRPr="00743B9C">
        <w:t>i</w:t>
      </w:r>
      <w:r w:rsidRPr="00743B9C">
        <w:t xml:space="preserve">ncorporated Memorandum, </w:t>
      </w:r>
      <w:r w:rsidR="00374462" w:rsidRPr="00743B9C">
        <w:t>ASD</w:t>
      </w:r>
      <w:r w:rsidRPr="00743B9C">
        <w:t xml:space="preserve"> does not set forth whether its Motion to Continue is made under La. Code Civ. Pro. Art. 1601 or 1602.  </w:t>
      </w:r>
      <w:r w:rsidR="000C792E" w:rsidRPr="00743B9C">
        <w:t>Article</w:t>
      </w:r>
      <w:r w:rsidRPr="00743B9C">
        <w:t xml:space="preserve"> 1601 grants this Board the discretion to grant a continuance </w:t>
      </w:r>
      <w:r w:rsidR="00743B9C">
        <w:t>“</w:t>
      </w:r>
      <w:r w:rsidRPr="00743B9C">
        <w:t>if there is good ground therefor</w:t>
      </w:r>
      <w:r w:rsidR="00CD01CF" w:rsidRPr="00743B9C">
        <w:t>.</w:t>
      </w:r>
      <w:r w:rsidR="00743B9C">
        <w:t>”</w:t>
      </w:r>
      <w:r w:rsidRPr="00743B9C">
        <w:t xml:space="preserve"> </w:t>
      </w:r>
      <w:r w:rsidR="000C792E" w:rsidRPr="00743B9C">
        <w:t>Article</w:t>
      </w:r>
      <w:r w:rsidRPr="00743B9C">
        <w:t xml:space="preserve"> 1602 provides peremptory grounds which require </w:t>
      </w:r>
      <w:proofErr w:type="gramStart"/>
      <w:r w:rsidRPr="00743B9C">
        <w:t>a continuance</w:t>
      </w:r>
      <w:proofErr w:type="gramEnd"/>
      <w:r w:rsidRPr="00743B9C">
        <w:t>, which are: (1)</w:t>
      </w:r>
      <w:r w:rsidR="00CD01CF" w:rsidRPr="00743B9C">
        <w:t xml:space="preserve"> </w:t>
      </w:r>
      <w:r w:rsidRPr="00743B9C">
        <w:t>the party applying for the continuance shows that he has been unable, with the exercise of due diligence, to obtain evidence material to his case; or (2)</w:t>
      </w:r>
      <w:r w:rsidR="00CD01CF" w:rsidRPr="00743B9C">
        <w:t xml:space="preserve"> </w:t>
      </w:r>
      <w:r w:rsidRPr="00743B9C">
        <w:t xml:space="preserve">that a material witness has absented himself without the contrivance of the party applying for the continuance.  Since the Taxpayer has not specifically set forth any allegation that either of the two grounds set forth in </w:t>
      </w:r>
      <w:r w:rsidR="000C792E" w:rsidRPr="00743B9C">
        <w:t>Article</w:t>
      </w:r>
      <w:r w:rsidRPr="00743B9C">
        <w:t xml:space="preserve"> </w:t>
      </w:r>
      <w:r w:rsidRPr="00743B9C">
        <w:lastRenderedPageBreak/>
        <w:t xml:space="preserve">1602 </w:t>
      </w:r>
      <w:r w:rsidR="00CD01CF" w:rsidRPr="00743B9C">
        <w:t xml:space="preserve">which could </w:t>
      </w:r>
      <w:r w:rsidRPr="00743B9C">
        <w:t xml:space="preserve">require a continuance in this matter, the Board will treat </w:t>
      </w:r>
      <w:r w:rsidR="000C792E" w:rsidRPr="00743B9C">
        <w:t xml:space="preserve">the </w:t>
      </w:r>
      <w:r w:rsidRPr="00743B9C">
        <w:t>Motion to Continue as discretionary under Art</w:t>
      </w:r>
      <w:r w:rsidR="00374462" w:rsidRPr="00743B9C">
        <w:t>icle</w:t>
      </w:r>
      <w:r w:rsidRPr="00743B9C">
        <w:t xml:space="preserve"> 1601.</w:t>
      </w:r>
    </w:p>
    <w:p w14:paraId="071A4EA6" w14:textId="76DA8BD6" w:rsidR="00813E59" w:rsidRPr="00743B9C" w:rsidRDefault="00B77CFE" w:rsidP="001A0465">
      <w:bookmarkStart w:id="6" w:name="_Hlk222239757"/>
      <w:bookmarkEnd w:id="5"/>
      <w:r w:rsidRPr="00743B9C">
        <w:t>At the outset of the Board</w:t>
      </w:r>
      <w:r w:rsidR="00743B9C">
        <w:t>’</w:t>
      </w:r>
      <w:r w:rsidRPr="00743B9C">
        <w:t>s analysis, the power necessary for the exercise of a court</w:t>
      </w:r>
      <w:r w:rsidR="00743B9C">
        <w:t>’</w:t>
      </w:r>
      <w:r w:rsidRPr="00743B9C">
        <w:t xml:space="preserve">s jurisdiction inheres in the court with the corollary that such power embraces the reasonable enforcement of its lawful orders and directives such that those subject to its lawful orders and directives can be compelled to adhere to them. </w:t>
      </w:r>
      <w:r w:rsidRPr="00743B9C">
        <w:rPr>
          <w:i/>
          <w:iCs/>
        </w:rPr>
        <w:t>See</w:t>
      </w:r>
      <w:r w:rsidRPr="00743B9C">
        <w:t xml:space="preserve"> La. C.C.P. art. 191 (</w:t>
      </w:r>
      <w:r w:rsidR="00743B9C">
        <w:t>“</w:t>
      </w:r>
      <w:r w:rsidRPr="00743B9C">
        <w:t xml:space="preserve">A court possesses inherently all of the power necessary for the exercise of its jurisdiction even though not granted </w:t>
      </w:r>
      <w:r w:rsidR="00CD01CF" w:rsidRPr="00743B9C">
        <w:t xml:space="preserve">expressly </w:t>
      </w:r>
      <w:r w:rsidRPr="00743B9C">
        <w:t>by law</w:t>
      </w:r>
      <w:r w:rsidR="00CD01CF" w:rsidRPr="00743B9C">
        <w:t>.</w:t>
      </w:r>
      <w:r w:rsidR="00743B9C">
        <w:t>”</w:t>
      </w:r>
      <w:r w:rsidRPr="00743B9C">
        <w:t xml:space="preserve">); </w:t>
      </w:r>
      <w:r w:rsidRPr="00743B9C">
        <w:rPr>
          <w:i/>
          <w:iCs/>
        </w:rPr>
        <w:t>Carroll v. Sheikh-Khalil</w:t>
      </w:r>
      <w:r w:rsidRPr="00743B9C">
        <w:t>, 55,413 (La. App. 2 Cir. 1/10/24), 378 So.3d 917. The inability</w:t>
      </w:r>
      <w:r w:rsidR="00A47825" w:rsidRPr="00743B9C">
        <w:t>,</w:t>
      </w:r>
      <w:r w:rsidRPr="00743B9C">
        <w:t xml:space="preserve"> or even the failure</w:t>
      </w:r>
      <w:r w:rsidR="00A47825" w:rsidRPr="00743B9C">
        <w:t>,</w:t>
      </w:r>
      <w:r w:rsidRPr="00743B9C">
        <w:t xml:space="preserve"> of a court to reasonably enforce its judgments, orders, or directives would render them mere words on paper. Thus, our law necessarily affords trial judges great discretion and power over the control of proceedings in their respective courtrooms</w:t>
      </w:r>
      <w:r w:rsidR="00A47825" w:rsidRPr="00743B9C">
        <w:t>.</w:t>
      </w:r>
      <w:r w:rsidRPr="00743B9C">
        <w:t xml:space="preserve"> </w:t>
      </w:r>
      <w:r w:rsidR="00743B9C">
        <w:t>“</w:t>
      </w:r>
      <w:r w:rsidR="00A47825" w:rsidRPr="00743B9C">
        <w:t>The court has the power to require that the proceedings shall be conducted with dignity and in an orderly and expeditious manner, and to control the proceedings at the trial, so that justice is done</w:t>
      </w:r>
      <w:r w:rsidRPr="00743B9C">
        <w:t>.</w:t>
      </w:r>
      <w:r w:rsidR="00743B9C">
        <w:t>”</w:t>
      </w:r>
      <w:r w:rsidRPr="00743B9C">
        <w:t xml:space="preserve"> La. C.C.P. art. 1631(A).</w:t>
      </w:r>
    </w:p>
    <w:p w14:paraId="1747FACB" w14:textId="3486CCC5" w:rsidR="00813E59" w:rsidRPr="00743B9C" w:rsidRDefault="00A47825" w:rsidP="001A0465">
      <w:bookmarkStart w:id="7" w:name="_Hlk222239771"/>
      <w:bookmarkEnd w:id="6"/>
      <w:r w:rsidRPr="00743B9C">
        <w:t>Article</w:t>
      </w:r>
      <w:r w:rsidR="00B77CFE" w:rsidRPr="00743B9C">
        <w:t xml:space="preserve"> 1601 provides that a continuance may be granted in any case</w:t>
      </w:r>
      <w:r w:rsidRPr="00743B9C">
        <w:t>,</w:t>
      </w:r>
      <w:r w:rsidR="00B77CFE" w:rsidRPr="00743B9C">
        <w:t xml:space="preserve"> </w:t>
      </w:r>
      <w:r w:rsidR="00743B9C">
        <w:t>“</w:t>
      </w:r>
      <w:r w:rsidR="00B77CFE" w:rsidRPr="00743B9C">
        <w:t>if there is good ground therefor.</w:t>
      </w:r>
      <w:r w:rsidR="00743B9C">
        <w:t>”</w:t>
      </w:r>
      <w:r w:rsidR="00B77CFE" w:rsidRPr="00743B9C">
        <w:t xml:space="preserve"> </w:t>
      </w:r>
      <w:r w:rsidR="00743B9C">
        <w:t>“</w:t>
      </w:r>
      <w:r w:rsidR="00B77CFE" w:rsidRPr="00743B9C">
        <w:t>Good</w:t>
      </w:r>
      <w:r w:rsidR="00743B9C">
        <w:t>”</w:t>
      </w:r>
      <w:r w:rsidR="00B77CFE" w:rsidRPr="00743B9C">
        <w:t xml:space="preserve"> ground is something less than a </w:t>
      </w:r>
      <w:r w:rsidR="00743B9C">
        <w:t>“</w:t>
      </w:r>
      <w:r w:rsidR="00B77CFE" w:rsidRPr="00743B9C">
        <w:t>peremptory</w:t>
      </w:r>
      <w:r w:rsidR="00743B9C">
        <w:t>”</w:t>
      </w:r>
      <w:r w:rsidR="00B77CFE" w:rsidRPr="00743B9C">
        <w:t xml:space="preserve"> ground, for which </w:t>
      </w:r>
      <w:r w:rsidRPr="00743B9C">
        <w:t>Article</w:t>
      </w:r>
      <w:r w:rsidR="00B77CFE" w:rsidRPr="00743B9C">
        <w:t xml:space="preserve"> 1602 declares a continuance </w:t>
      </w:r>
      <w:r w:rsidR="00743B9C">
        <w:t>“</w:t>
      </w:r>
      <w:r w:rsidR="00B77CFE" w:rsidRPr="00743B9C">
        <w:t>shall</w:t>
      </w:r>
      <w:r w:rsidR="00743B9C">
        <w:t>”</w:t>
      </w:r>
      <w:r w:rsidR="00B77CFE" w:rsidRPr="00743B9C">
        <w:t xml:space="preserve"> be granted. The trial court has great discretion in granting or denying </w:t>
      </w:r>
      <w:proofErr w:type="gramStart"/>
      <w:r w:rsidR="00B77CFE" w:rsidRPr="00743B9C">
        <w:t>a continuance</w:t>
      </w:r>
      <w:proofErr w:type="gramEnd"/>
      <w:r w:rsidR="00B77CFE" w:rsidRPr="00743B9C">
        <w:t xml:space="preserve"> under </w:t>
      </w:r>
      <w:r w:rsidRPr="00743B9C">
        <w:t>Article</w:t>
      </w:r>
      <w:r w:rsidR="00B77CFE" w:rsidRPr="00743B9C">
        <w:t xml:space="preserve"> 1601, and its ruling should not be disturbed on appeal in the absence of </w:t>
      </w:r>
      <w:proofErr w:type="gramStart"/>
      <w:r w:rsidR="00B77CFE" w:rsidRPr="00743B9C">
        <w:t>a clear</w:t>
      </w:r>
      <w:proofErr w:type="gramEnd"/>
      <w:r w:rsidR="00B77CFE" w:rsidRPr="00743B9C">
        <w:t xml:space="preserve"> abuse of that discretion. </w:t>
      </w:r>
      <w:r w:rsidR="00B77CFE" w:rsidRPr="00743B9C">
        <w:rPr>
          <w:i/>
          <w:iCs/>
        </w:rPr>
        <w:t>Broussard v. Broussard</w:t>
      </w:r>
      <w:r w:rsidR="00B77CFE" w:rsidRPr="00743B9C">
        <w:t xml:space="preserve">, 54,598 (La. App. 2 Cir. 6/29/22), 342 So.3d 465. An abuse of discretion occurs when such discretion is exercised in a way that deprives </w:t>
      </w:r>
      <w:r w:rsidR="00B77CFE" w:rsidRPr="00743B9C">
        <w:lastRenderedPageBreak/>
        <w:t xml:space="preserve">a litigant of his day in court. </w:t>
      </w:r>
      <w:r w:rsidR="00B77CFE" w:rsidRPr="00743B9C">
        <w:rPr>
          <w:i/>
          <w:iCs/>
        </w:rPr>
        <w:t>Id.</w:t>
      </w:r>
      <w:r w:rsidR="00B77CFE" w:rsidRPr="00743B9C">
        <w:t xml:space="preserve">  In deciding </w:t>
      </w:r>
      <w:proofErr w:type="gramStart"/>
      <w:r w:rsidR="00B77CFE" w:rsidRPr="00743B9C">
        <w:t>whether or not</w:t>
      </w:r>
      <w:proofErr w:type="gramEnd"/>
      <w:r w:rsidR="00B77CFE" w:rsidRPr="00743B9C">
        <w:t xml:space="preserve"> to grant a motion for continuance, the trial court may consider such factors as diligence, good faith, reasonable grounds, fairness to both parties, and the need for the orderly administration of justice. </w:t>
      </w:r>
      <w:bookmarkStart w:id="8" w:name="_Hlk222315289"/>
      <w:r w:rsidR="00B77CFE" w:rsidRPr="00743B9C">
        <w:rPr>
          <w:i/>
          <w:iCs/>
        </w:rPr>
        <w:t>Shiver v. Lafayette City-Parish Consol. Government</w:t>
      </w:r>
      <w:r w:rsidR="00B77CFE" w:rsidRPr="00743B9C">
        <w:t>, 14-760</w:t>
      </w:r>
      <w:r w:rsidR="00B45836">
        <w:t>, p. 3</w:t>
      </w:r>
      <w:r w:rsidR="00B77CFE" w:rsidRPr="00743B9C">
        <w:t xml:space="preserve"> (La. App. 3 Cir. 12/10/14), 154 So.3d 789, 791</w:t>
      </w:r>
      <w:r w:rsidRPr="00743B9C">
        <w:t>.</w:t>
      </w:r>
      <w:bookmarkEnd w:id="8"/>
    </w:p>
    <w:bookmarkEnd w:id="7"/>
    <w:p w14:paraId="3F6CF1F9" w14:textId="57BE70E2" w:rsidR="00813E59" w:rsidRPr="00743B9C" w:rsidRDefault="00B77CFE" w:rsidP="001A0465">
      <w:r w:rsidRPr="00743B9C">
        <w:t xml:space="preserve">Applying the above principles to the instant matter, the Board notes that this case has been pending for over </w:t>
      </w:r>
      <w:r w:rsidR="00374462" w:rsidRPr="00743B9C">
        <w:t>two</w:t>
      </w:r>
      <w:r w:rsidRPr="00743B9C">
        <w:t xml:space="preserve"> years. The matter was set for trial with the agreement of both </w:t>
      </w:r>
      <w:r w:rsidR="006C2871" w:rsidRPr="00743B9C">
        <w:t xml:space="preserve">Monroe </w:t>
      </w:r>
      <w:r w:rsidRPr="00743B9C">
        <w:t xml:space="preserve">and </w:t>
      </w:r>
      <w:r w:rsidR="00A47825" w:rsidRPr="00743B9C">
        <w:t xml:space="preserve">ASD </w:t>
      </w:r>
      <w:r w:rsidRPr="00743B9C">
        <w:t>in mid</w:t>
      </w:r>
      <w:r w:rsidR="00A47825" w:rsidRPr="00743B9C">
        <w:t>-</w:t>
      </w:r>
      <w:r w:rsidRPr="00743B9C">
        <w:t xml:space="preserve">September of 2025.  The Scheduling Order gave both </w:t>
      </w:r>
      <w:r w:rsidR="006C2871" w:rsidRPr="00743B9C">
        <w:t>Monroe</w:t>
      </w:r>
      <w:r w:rsidR="00A47825" w:rsidRPr="00743B9C">
        <w:t xml:space="preserve"> </w:t>
      </w:r>
      <w:r w:rsidRPr="00743B9C">
        <w:t xml:space="preserve">and </w:t>
      </w:r>
      <w:r w:rsidR="00A47825" w:rsidRPr="00743B9C">
        <w:t xml:space="preserve">ASD </w:t>
      </w:r>
      <w:r w:rsidRPr="00743B9C">
        <w:t>until December 31, 2025</w:t>
      </w:r>
      <w:r w:rsidR="00A47825" w:rsidRPr="00743B9C">
        <w:t>,</w:t>
      </w:r>
      <w:r w:rsidRPr="00743B9C">
        <w:t xml:space="preserve"> to conduct additional discovery in this matter.  Further, the continued delay of this matter deprives </w:t>
      </w:r>
      <w:r w:rsidR="006C2871" w:rsidRPr="00743B9C">
        <w:t xml:space="preserve">Monroe </w:t>
      </w:r>
      <w:r w:rsidRPr="00743B9C">
        <w:t>of tax revenue (albeit not permanently)</w:t>
      </w:r>
      <w:r w:rsidR="00374462" w:rsidRPr="00743B9C">
        <w:t>,</w:t>
      </w:r>
      <w:r w:rsidRPr="00743B9C">
        <w:t xml:space="preserve"> should it ultimately be determined that all or part of the assessment is valid.  As such, the Board must weigh the competing interests of affording a litigant his day in court versus the need for the orderly administration of justice.    </w:t>
      </w:r>
    </w:p>
    <w:p w14:paraId="518BA816" w14:textId="23134FBD" w:rsidR="00813E59" w:rsidRPr="00743B9C" w:rsidRDefault="00A47825" w:rsidP="001A0465">
      <w:r w:rsidRPr="00743B9C">
        <w:t xml:space="preserve">ASD </w:t>
      </w:r>
      <w:r w:rsidR="00B77CFE" w:rsidRPr="00743B9C">
        <w:t xml:space="preserve">argues that </w:t>
      </w:r>
      <w:r w:rsidRPr="00743B9C">
        <w:t xml:space="preserve">it </w:t>
      </w:r>
      <w:r w:rsidR="00B77CFE" w:rsidRPr="00743B9C">
        <w:t>only recently learned from third</w:t>
      </w:r>
      <w:r w:rsidRPr="00743B9C">
        <w:t>-</w:t>
      </w:r>
      <w:r w:rsidR="00B77CFE" w:rsidRPr="00743B9C">
        <w:t xml:space="preserve">party sources outside of the discovery process that </w:t>
      </w:r>
      <w:r w:rsidR="002A51AC" w:rsidRPr="00743B9C">
        <w:t xml:space="preserve">Monroe </w:t>
      </w:r>
      <w:r w:rsidR="00B77CFE" w:rsidRPr="00743B9C">
        <w:t xml:space="preserve">had allegedly conducted audits of certain of </w:t>
      </w:r>
      <w:r w:rsidRPr="00743B9C">
        <w:t>ASD</w:t>
      </w:r>
      <w:r w:rsidR="00743B9C">
        <w:t>’</w:t>
      </w:r>
      <w:r w:rsidRPr="00743B9C">
        <w:t xml:space="preserve">s </w:t>
      </w:r>
      <w:r w:rsidR="00B77CFE" w:rsidRPr="00743B9C">
        <w:t xml:space="preserve">customers which might have included a review and action on </w:t>
      </w:r>
      <w:r w:rsidR="00374462" w:rsidRPr="00743B9C">
        <w:t>c</w:t>
      </w:r>
      <w:r w:rsidR="00B77CFE" w:rsidRPr="00743B9C">
        <w:t xml:space="preserve">ertain transactions between </w:t>
      </w:r>
      <w:r w:rsidRPr="00743B9C">
        <w:t xml:space="preserve">ASD </w:t>
      </w:r>
      <w:r w:rsidR="00B77CFE" w:rsidRPr="00743B9C">
        <w:t xml:space="preserve">and the relevant customer.  </w:t>
      </w:r>
      <w:r w:rsidRPr="00743B9C">
        <w:t xml:space="preserve">ASD </w:t>
      </w:r>
      <w:r w:rsidR="00B77CFE" w:rsidRPr="00743B9C">
        <w:t xml:space="preserve">is seeking </w:t>
      </w:r>
      <w:proofErr w:type="gramStart"/>
      <w:r w:rsidR="00B77CFE" w:rsidRPr="00743B9C">
        <w:t>a continuance</w:t>
      </w:r>
      <w:proofErr w:type="gramEnd"/>
      <w:r w:rsidR="00B77CFE" w:rsidRPr="00743B9C">
        <w:t xml:space="preserve"> on the basis that </w:t>
      </w:r>
      <w:r w:rsidRPr="00743B9C">
        <w:t xml:space="preserve">it </w:t>
      </w:r>
      <w:r w:rsidR="00B77CFE" w:rsidRPr="00743B9C">
        <w:t xml:space="preserve">needs more time to conduct discovery </w:t>
      </w:r>
      <w:proofErr w:type="gramStart"/>
      <w:r w:rsidR="00B77CFE" w:rsidRPr="00743B9C">
        <w:t>on</w:t>
      </w:r>
      <w:proofErr w:type="gramEnd"/>
      <w:r w:rsidR="00B77CFE" w:rsidRPr="00743B9C">
        <w:t xml:space="preserve"> these audits and </w:t>
      </w:r>
      <w:r w:rsidR="006C2871" w:rsidRPr="00743B9C">
        <w:t>Monroe</w:t>
      </w:r>
      <w:r w:rsidR="00743B9C">
        <w:t>’</w:t>
      </w:r>
      <w:r w:rsidRPr="00743B9C">
        <w:t xml:space="preserve">s </w:t>
      </w:r>
      <w:r w:rsidR="00B77CFE" w:rsidRPr="00743B9C">
        <w:t xml:space="preserve">treatment of the transactions in the alleged audits and their effect, if any, on the transactions at issue in this case.  Had </w:t>
      </w:r>
      <w:r w:rsidRPr="00743B9C">
        <w:t>ASD</w:t>
      </w:r>
      <w:r w:rsidR="00743B9C">
        <w:t>’</w:t>
      </w:r>
      <w:r w:rsidRPr="00743B9C">
        <w:t xml:space="preserve">s </w:t>
      </w:r>
      <w:r w:rsidR="00B77CFE" w:rsidRPr="00743B9C">
        <w:t xml:space="preserve">Motion to Continue included allegations that the information learned from third parties was contrary to discovery responses provided by </w:t>
      </w:r>
      <w:r w:rsidR="006C2871" w:rsidRPr="00743B9C">
        <w:t>Monroe</w:t>
      </w:r>
      <w:r w:rsidR="00B77CFE" w:rsidRPr="00743B9C">
        <w:t xml:space="preserve">, or that </w:t>
      </w:r>
      <w:r w:rsidR="006C2871" w:rsidRPr="00743B9C">
        <w:t>Monroe</w:t>
      </w:r>
      <w:r w:rsidRPr="00743B9C">
        <w:t xml:space="preserve"> </w:t>
      </w:r>
      <w:r w:rsidR="00B77CFE" w:rsidRPr="00743B9C">
        <w:t xml:space="preserve">played an active role in </w:t>
      </w:r>
      <w:r w:rsidR="00B77CFE" w:rsidRPr="00743B9C">
        <w:lastRenderedPageBreak/>
        <w:t xml:space="preserve">preventing </w:t>
      </w:r>
      <w:r w:rsidRPr="00743B9C">
        <w:t xml:space="preserve">ASD </w:t>
      </w:r>
      <w:r w:rsidR="00B77CFE" w:rsidRPr="00743B9C">
        <w:t xml:space="preserve">from obtaining this information, a stronger argument in favor of the continuance would exist.  </w:t>
      </w:r>
      <w:bookmarkStart w:id="9" w:name="_Hlk222239878"/>
      <w:r w:rsidR="00B77CFE" w:rsidRPr="00743B9C">
        <w:t xml:space="preserve">However, </w:t>
      </w:r>
      <w:r w:rsidR="002A51AC" w:rsidRPr="00743B9C">
        <w:t>ASD made no such allegations</w:t>
      </w:r>
      <w:r w:rsidR="00B77CFE" w:rsidRPr="00743B9C">
        <w:t xml:space="preserve">. </w:t>
      </w:r>
      <w:bookmarkEnd w:id="9"/>
      <w:r w:rsidRPr="00743B9C">
        <w:t xml:space="preserve">ASD </w:t>
      </w:r>
      <w:r w:rsidR="00B77CFE" w:rsidRPr="00743B9C">
        <w:t xml:space="preserve">could have easily propounded discovery to </w:t>
      </w:r>
      <w:r w:rsidR="006C2871" w:rsidRPr="00743B9C">
        <w:t>Monroe</w:t>
      </w:r>
      <w:r w:rsidRPr="00743B9C">
        <w:t xml:space="preserve"> </w:t>
      </w:r>
      <w:r w:rsidR="00B77CFE" w:rsidRPr="00743B9C">
        <w:t>to determine whether such audits had occurred.</w:t>
      </w:r>
      <w:r w:rsidR="00B77CFE" w:rsidRPr="00743B9C">
        <w:rPr>
          <w:rStyle w:val="FootnoteReference"/>
          <w:rFonts w:ascii="Century Schoolbook" w:hAnsi="Century Schoolbook"/>
          <w:szCs w:val="24"/>
        </w:rPr>
        <w:footnoteReference w:id="3"/>
      </w:r>
      <w:r w:rsidR="00B77CFE" w:rsidRPr="00743B9C">
        <w:t xml:space="preserve"> </w:t>
      </w:r>
      <w:r w:rsidR="00374462" w:rsidRPr="00743B9C">
        <w:t xml:space="preserve">Alternatively, ASD could have issued subpoena to those </w:t>
      </w:r>
      <w:proofErr w:type="gramStart"/>
      <w:r w:rsidR="00374462" w:rsidRPr="00743B9C">
        <w:t>customers, or</w:t>
      </w:r>
      <w:proofErr w:type="gramEnd"/>
      <w:r w:rsidR="00374462" w:rsidRPr="00743B9C">
        <w:t xml:space="preserve"> taken the depositions of the representatives of those customers to obtain the same information.  </w:t>
      </w:r>
    </w:p>
    <w:p w14:paraId="75BC2A88" w14:textId="6481B386" w:rsidR="00813E59" w:rsidRPr="00743B9C" w:rsidRDefault="00B77CFE" w:rsidP="001A0465">
      <w:r w:rsidRPr="00743B9C">
        <w:t>For the reasons set forth above, the Board denies the Motion to Continue.</w:t>
      </w:r>
    </w:p>
    <w:p w14:paraId="5A13B761" w14:textId="77777777" w:rsidR="00B7453D" w:rsidRPr="00CB3BA0" w:rsidRDefault="00B7453D" w:rsidP="00B7453D">
      <w:pPr>
        <w:rPr>
          <w:b/>
          <w:bCs/>
        </w:rPr>
      </w:pPr>
      <w:bookmarkStart w:id="11" w:name="_Hlk222246537"/>
      <w:r w:rsidRPr="00CB3BA0">
        <w:rPr>
          <w:b/>
          <w:bCs/>
        </w:rPr>
        <w:t>Baton Rouge, Louisiana, this 18</w:t>
      </w:r>
      <w:r w:rsidRPr="00CB3BA0">
        <w:rPr>
          <w:b/>
          <w:bCs/>
          <w:vertAlign w:val="superscript"/>
        </w:rPr>
        <w:t>th</w:t>
      </w:r>
      <w:r w:rsidRPr="00CB3BA0">
        <w:rPr>
          <w:b/>
          <w:bCs/>
        </w:rPr>
        <w:t xml:space="preserve"> day of </w:t>
      </w:r>
      <w:proofErr w:type="gramStart"/>
      <w:r w:rsidRPr="00CB3BA0">
        <w:rPr>
          <w:b/>
          <w:bCs/>
        </w:rPr>
        <w:t>February</w:t>
      </w:r>
      <w:r>
        <w:rPr>
          <w:b/>
          <w:bCs/>
        </w:rPr>
        <w:t>,</w:t>
      </w:r>
      <w:proofErr w:type="gramEnd"/>
      <w:r w:rsidRPr="00CB3BA0">
        <w:rPr>
          <w:b/>
          <w:bCs/>
        </w:rPr>
        <w:t xml:space="preserve"> 202</w:t>
      </w:r>
      <w:r>
        <w:rPr>
          <w:b/>
          <w:bCs/>
        </w:rPr>
        <w:t>6</w:t>
      </w:r>
      <w:r w:rsidRPr="00CB3BA0">
        <w:rPr>
          <w:b/>
          <w:bCs/>
        </w:rPr>
        <w:t xml:space="preserve">.  </w:t>
      </w:r>
    </w:p>
    <w:p w14:paraId="416EDB4E" w14:textId="77777777" w:rsidR="00B7453D" w:rsidRPr="00CB3BA0" w:rsidRDefault="00B7453D" w:rsidP="00B7453D">
      <w:pPr>
        <w:rPr>
          <w:b/>
          <w:bCs/>
        </w:rPr>
      </w:pPr>
      <w:r>
        <w:rPr>
          <w:b/>
          <w:bCs/>
        </w:rPr>
        <w:t>For the Board</w:t>
      </w:r>
      <w:r w:rsidRPr="00CB3BA0">
        <w:rPr>
          <w:b/>
          <w:bCs/>
        </w:rPr>
        <w:t>:</w:t>
      </w:r>
    </w:p>
    <w:p w14:paraId="54E01BB9" w14:textId="77777777" w:rsidR="00B7453D" w:rsidRPr="00CB3BA0" w:rsidRDefault="00B7453D" w:rsidP="00B7453D">
      <w:pPr>
        <w:rPr>
          <w:b/>
          <w:bCs/>
        </w:rPr>
      </w:pPr>
      <w:r w:rsidRPr="00CB3BA0">
        <w:rPr>
          <w:b/>
          <w:bCs/>
        </w:rPr>
        <w:t>Francis J. “Jay” Lobrano, Local Tax Judge</w:t>
      </w:r>
    </w:p>
    <w:p w14:paraId="3956419A" w14:textId="534C92E4" w:rsidR="00813E59" w:rsidRPr="00B7453D" w:rsidRDefault="00B7453D" w:rsidP="00B7453D">
      <w:pPr>
        <w:rPr>
          <w:b/>
          <w:bCs/>
        </w:rPr>
      </w:pPr>
      <w:r w:rsidRPr="00CB3BA0">
        <w:rPr>
          <w:b/>
          <w:bCs/>
        </w:rPr>
        <w:t>Louisiana Board of Tax Appeals</w:t>
      </w:r>
      <w:bookmarkEnd w:id="11"/>
    </w:p>
    <w:sectPr w:rsidR="00813E59" w:rsidRPr="00B7453D">
      <w:headerReference w:type="even" r:id="rId8"/>
      <w:headerReference w:type="default" r:id="rId9"/>
      <w:footerReference w:type="even" r:id="rId10"/>
      <w:footerReference w:type="default" r:id="rId11"/>
      <w:footnotePr>
        <w:numRestart w:val="eachSect"/>
      </w:footnotePr>
      <w:type w:val="continuous"/>
      <w:pgSz w:w="12240" w:h="20160"/>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3B04" w14:textId="77777777" w:rsidR="00B77CFE" w:rsidRDefault="00B77CFE" w:rsidP="001A0465">
      <w:r>
        <w:separator/>
      </w:r>
    </w:p>
  </w:endnote>
  <w:endnote w:type="continuationSeparator" w:id="0">
    <w:p w14:paraId="66E46116" w14:textId="77777777" w:rsidR="00B77CFE" w:rsidRDefault="00B77CFE" w:rsidP="001A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52201"/>
      <w:docPartObj>
        <w:docPartGallery w:val="Page Numbers (Bottom of Page)"/>
        <w:docPartUnique/>
      </w:docPartObj>
    </w:sdtPr>
    <w:sdtEndPr>
      <w:rPr>
        <w:noProof/>
      </w:rPr>
    </w:sdtEndPr>
    <w:sdtContent>
      <w:p w14:paraId="44CF596C" w14:textId="74503DA5" w:rsidR="00813E59" w:rsidRDefault="00B94FE4" w:rsidP="001A0465">
        <w:pPr>
          <w:pStyle w:val="Footer"/>
          <w:spacing w:after="0" w:line="240" w:lineRule="auto"/>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054622"/>
      <w:docPartObj>
        <w:docPartGallery w:val="Page Numbers (Bottom of Page)"/>
        <w:docPartUnique/>
      </w:docPartObj>
    </w:sdtPr>
    <w:sdtEndPr>
      <w:rPr>
        <w:noProof/>
      </w:rPr>
    </w:sdtEndPr>
    <w:sdtContent>
      <w:p w14:paraId="68693117" w14:textId="0E993E81" w:rsidR="00374462" w:rsidRDefault="00374462" w:rsidP="001A0465">
        <w:pPr>
          <w:pStyle w:val="Footer"/>
        </w:pPr>
        <w:r>
          <w:fldChar w:fldCharType="begin"/>
        </w:r>
        <w:r>
          <w:instrText xml:space="preserve"> PAGE   \* MERGEFORMAT </w:instrText>
        </w:r>
        <w:r>
          <w:fldChar w:fldCharType="separate"/>
        </w:r>
        <w:r>
          <w:rPr>
            <w:noProof/>
          </w:rPr>
          <w:t>2</w:t>
        </w:r>
        <w:r>
          <w:rPr>
            <w:noProof/>
          </w:rPr>
          <w:fldChar w:fldCharType="end"/>
        </w:r>
      </w:p>
    </w:sdtContent>
  </w:sdt>
  <w:p w14:paraId="04E754BE" w14:textId="77777777" w:rsidR="00813E59" w:rsidRDefault="00813E59" w:rsidP="001A04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67670268"/>
      <w:docPartObj>
        <w:docPartGallery w:val="Page Numbers (Bottom of Page)"/>
        <w:docPartUnique/>
      </w:docPartObj>
    </w:sdtPr>
    <w:sdtEndPr>
      <w:rPr>
        <w:noProof/>
      </w:rPr>
    </w:sdtEndPr>
    <w:sdtContent>
      <w:p w14:paraId="663059ED" w14:textId="74C4037B" w:rsidR="00813E59" w:rsidRPr="001A0465" w:rsidRDefault="00544106" w:rsidP="001A0465">
        <w:pPr>
          <w:pStyle w:val="Footer"/>
          <w:ind w:firstLine="0"/>
          <w:jc w:val="center"/>
          <w:rPr>
            <w:sz w:val="24"/>
            <w:szCs w:val="24"/>
          </w:rPr>
        </w:pPr>
        <w:r w:rsidRPr="001A0465">
          <w:rPr>
            <w:sz w:val="24"/>
            <w:szCs w:val="24"/>
          </w:rPr>
          <w:fldChar w:fldCharType="begin"/>
        </w:r>
        <w:r w:rsidRPr="001A0465">
          <w:rPr>
            <w:sz w:val="24"/>
            <w:szCs w:val="24"/>
          </w:rPr>
          <w:instrText xml:space="preserve"> PAGE   \* MERGEFORMAT </w:instrText>
        </w:r>
        <w:r w:rsidRPr="001A0465">
          <w:rPr>
            <w:sz w:val="24"/>
            <w:szCs w:val="24"/>
          </w:rPr>
          <w:fldChar w:fldCharType="separate"/>
        </w:r>
        <w:r w:rsidRPr="001A0465">
          <w:rPr>
            <w:noProof/>
            <w:sz w:val="24"/>
            <w:szCs w:val="24"/>
          </w:rPr>
          <w:t>2</w:t>
        </w:r>
        <w:r w:rsidRPr="001A046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2631" w14:textId="77777777" w:rsidR="00813E59" w:rsidRDefault="00B77CFE" w:rsidP="001A0465">
      <w:r>
        <w:separator/>
      </w:r>
    </w:p>
  </w:footnote>
  <w:footnote w:type="continuationSeparator" w:id="0">
    <w:p w14:paraId="21A9477A" w14:textId="77777777" w:rsidR="00813E59" w:rsidRDefault="00B77CFE" w:rsidP="001A0465">
      <w:r>
        <w:continuationSeparator/>
      </w:r>
    </w:p>
  </w:footnote>
  <w:footnote w:id="1">
    <w:p w14:paraId="0799A588" w14:textId="4AF7594F" w:rsidR="00544106" w:rsidRPr="001A0465" w:rsidRDefault="00544106" w:rsidP="001A0465">
      <w:pPr>
        <w:pStyle w:val="FootnoteText"/>
        <w:spacing w:after="0" w:line="360" w:lineRule="auto"/>
        <w:rPr>
          <w:rFonts w:ascii="Arial" w:hAnsi="Arial"/>
          <w:sz w:val="24"/>
          <w:szCs w:val="24"/>
        </w:rPr>
      </w:pPr>
      <w:r w:rsidRPr="001A0465">
        <w:rPr>
          <w:rStyle w:val="FootnoteReference"/>
          <w:rFonts w:ascii="Arial" w:hAnsi="Arial"/>
          <w:sz w:val="24"/>
          <w:szCs w:val="24"/>
        </w:rPr>
        <w:footnoteRef/>
      </w:r>
      <w:r w:rsidRPr="001A0465">
        <w:rPr>
          <w:rFonts w:ascii="Arial" w:hAnsi="Arial"/>
          <w:sz w:val="24"/>
          <w:szCs w:val="24"/>
        </w:rPr>
        <w:t xml:space="preserve"> Concurrently, the Board conducted a hearing on ASD</w:t>
      </w:r>
      <w:r w:rsidR="00743B9C" w:rsidRPr="001A0465">
        <w:rPr>
          <w:rFonts w:ascii="Arial" w:hAnsi="Arial"/>
          <w:sz w:val="24"/>
          <w:szCs w:val="24"/>
        </w:rPr>
        <w:t>’</w:t>
      </w:r>
      <w:r w:rsidRPr="001A0465">
        <w:rPr>
          <w:rFonts w:ascii="Arial" w:hAnsi="Arial"/>
          <w:sz w:val="24"/>
          <w:szCs w:val="24"/>
        </w:rPr>
        <w:t>s Motion to Continue in B.T.A. Docket No. L0186</w:t>
      </w:r>
      <w:r w:rsidR="006C2871" w:rsidRPr="001A0465">
        <w:rPr>
          <w:rFonts w:ascii="Arial" w:hAnsi="Arial"/>
          <w:sz w:val="24"/>
          <w:szCs w:val="24"/>
        </w:rPr>
        <w:t>1</w:t>
      </w:r>
      <w:r w:rsidRPr="001A0465">
        <w:rPr>
          <w:rFonts w:ascii="Arial" w:hAnsi="Arial"/>
          <w:sz w:val="24"/>
          <w:szCs w:val="24"/>
        </w:rPr>
        <w:t xml:space="preserve">, </w:t>
      </w:r>
      <w:bookmarkStart w:id="1" w:name="_Hlk222246928"/>
      <w:r w:rsidRPr="001A0465">
        <w:rPr>
          <w:rFonts w:ascii="Arial" w:hAnsi="Arial"/>
          <w:sz w:val="24"/>
          <w:szCs w:val="24"/>
        </w:rPr>
        <w:t xml:space="preserve">ASD Specialty Healthcare, LLC v. </w:t>
      </w:r>
      <w:r w:rsidR="006C2871" w:rsidRPr="001A0465">
        <w:rPr>
          <w:rFonts w:ascii="Arial" w:hAnsi="Arial"/>
          <w:sz w:val="24"/>
          <w:szCs w:val="24"/>
        </w:rPr>
        <w:t>The Parish of Lincoln, Louisiana, Through the Lincoln Parish Sales and Use Tax Commission, and Denise Griggs, as Administrator of the Lincoln Parish Sales and Use Tax Commission</w:t>
      </w:r>
      <w:r w:rsidRPr="001A0465">
        <w:rPr>
          <w:rFonts w:ascii="Arial" w:hAnsi="Arial"/>
          <w:sz w:val="24"/>
          <w:szCs w:val="24"/>
        </w:rPr>
        <w:t>.</w:t>
      </w:r>
      <w:bookmarkEnd w:id="1"/>
    </w:p>
  </w:footnote>
  <w:footnote w:id="2">
    <w:p w14:paraId="13243656" w14:textId="0E2A186C" w:rsidR="006C2871" w:rsidRPr="001A0465" w:rsidRDefault="006C2871" w:rsidP="001A0465">
      <w:pPr>
        <w:pStyle w:val="FootnoteText"/>
        <w:rPr>
          <w:rFonts w:ascii="Arial" w:hAnsi="Arial"/>
          <w:sz w:val="24"/>
          <w:szCs w:val="24"/>
        </w:rPr>
      </w:pPr>
      <w:r w:rsidRPr="001A0465">
        <w:rPr>
          <w:rStyle w:val="FootnoteReference"/>
          <w:rFonts w:ascii="Arial" w:hAnsi="Arial"/>
          <w:sz w:val="24"/>
          <w:szCs w:val="24"/>
        </w:rPr>
        <w:footnoteRef/>
      </w:r>
      <w:r w:rsidRPr="001A0465">
        <w:rPr>
          <w:rFonts w:ascii="Arial" w:hAnsi="Arial"/>
          <w:sz w:val="24"/>
          <w:szCs w:val="24"/>
        </w:rPr>
        <w:t xml:space="preserve"> Concurrently, the Board conducted a hearing on ASD</w:t>
      </w:r>
      <w:r w:rsidR="00743B9C" w:rsidRPr="001A0465">
        <w:rPr>
          <w:rFonts w:ascii="Arial" w:hAnsi="Arial"/>
          <w:sz w:val="24"/>
          <w:szCs w:val="24"/>
        </w:rPr>
        <w:t>’</w:t>
      </w:r>
      <w:r w:rsidRPr="001A0465">
        <w:rPr>
          <w:rFonts w:ascii="Arial" w:hAnsi="Arial"/>
          <w:sz w:val="24"/>
          <w:szCs w:val="24"/>
        </w:rPr>
        <w:t>s Motion to Continue in B.T.A. Docket No. L01861, ASD Specialty Healthcare, LLC v. The Parish of Lincoln, Louisiana, Through the Lincoln Parish Sales and Use Tax Commission, and Denise Griggs, as Administrator of the Lincoln Parish Sales and Use Tax Commission.</w:t>
      </w:r>
    </w:p>
  </w:footnote>
  <w:footnote w:id="3">
    <w:p w14:paraId="25C29AAB" w14:textId="5C3004AC" w:rsidR="00813E59" w:rsidRPr="001A0465" w:rsidRDefault="00B77CFE" w:rsidP="001A0465">
      <w:pPr>
        <w:pStyle w:val="FootnoteText"/>
        <w:rPr>
          <w:rFonts w:ascii="Arial" w:hAnsi="Arial"/>
          <w:sz w:val="24"/>
          <w:szCs w:val="24"/>
        </w:rPr>
      </w:pPr>
      <w:r w:rsidRPr="001A0465">
        <w:rPr>
          <w:rFonts w:ascii="Arial" w:hAnsi="Arial"/>
          <w:sz w:val="24"/>
          <w:szCs w:val="24"/>
          <w:vertAlign w:val="superscript"/>
        </w:rPr>
        <w:footnoteRef/>
      </w:r>
      <w:r w:rsidR="001A0465">
        <w:rPr>
          <w:rFonts w:ascii="Arial" w:hAnsi="Arial"/>
          <w:sz w:val="24"/>
          <w:szCs w:val="24"/>
        </w:rPr>
        <w:t xml:space="preserve"> </w:t>
      </w:r>
      <w:r w:rsidRPr="001A0465">
        <w:rPr>
          <w:rFonts w:ascii="Arial" w:hAnsi="Arial"/>
          <w:sz w:val="24"/>
          <w:szCs w:val="24"/>
        </w:rPr>
        <w:t xml:space="preserve">On February 5, 2026, </w:t>
      </w:r>
      <w:r w:rsidR="00B94FE4" w:rsidRPr="001A0465">
        <w:rPr>
          <w:rFonts w:ascii="Arial" w:hAnsi="Arial"/>
          <w:sz w:val="24"/>
          <w:szCs w:val="24"/>
        </w:rPr>
        <w:t xml:space="preserve">ASD </w:t>
      </w:r>
      <w:r w:rsidRPr="001A0465">
        <w:rPr>
          <w:rFonts w:ascii="Arial" w:hAnsi="Arial"/>
          <w:sz w:val="24"/>
          <w:szCs w:val="24"/>
        </w:rPr>
        <w:t xml:space="preserve">filed a Motion to Compel against the Collector.  </w:t>
      </w:r>
      <w:bookmarkStart w:id="10" w:name="_Hlk222246477"/>
      <w:r w:rsidRPr="001A0465">
        <w:rPr>
          <w:rFonts w:ascii="Arial" w:hAnsi="Arial"/>
          <w:sz w:val="24"/>
          <w:szCs w:val="24"/>
        </w:rPr>
        <w:t xml:space="preserve">Specifically, </w:t>
      </w:r>
      <w:r w:rsidR="00B94FE4" w:rsidRPr="001A0465">
        <w:rPr>
          <w:rFonts w:ascii="Arial" w:hAnsi="Arial"/>
          <w:sz w:val="24"/>
          <w:szCs w:val="24"/>
        </w:rPr>
        <w:t xml:space="preserve">ASD seeks </w:t>
      </w:r>
      <w:r w:rsidR="006C2871" w:rsidRPr="001A0465">
        <w:rPr>
          <w:rFonts w:ascii="Arial" w:hAnsi="Arial"/>
          <w:sz w:val="24"/>
          <w:szCs w:val="24"/>
        </w:rPr>
        <w:t>Monroe</w:t>
      </w:r>
      <w:r w:rsidR="00743B9C" w:rsidRPr="001A0465">
        <w:rPr>
          <w:rFonts w:ascii="Arial" w:hAnsi="Arial"/>
          <w:sz w:val="24"/>
          <w:szCs w:val="24"/>
        </w:rPr>
        <w:t>’</w:t>
      </w:r>
      <w:r w:rsidR="00B94FE4" w:rsidRPr="001A0465">
        <w:rPr>
          <w:rFonts w:ascii="Arial" w:hAnsi="Arial"/>
          <w:sz w:val="24"/>
          <w:szCs w:val="24"/>
        </w:rPr>
        <w:t xml:space="preserve">s </w:t>
      </w:r>
      <w:r w:rsidRPr="001A0465">
        <w:rPr>
          <w:rFonts w:ascii="Arial" w:hAnsi="Arial"/>
          <w:sz w:val="24"/>
          <w:szCs w:val="24"/>
        </w:rPr>
        <w:t xml:space="preserve">tax records </w:t>
      </w:r>
      <w:r w:rsidR="00B94FE4" w:rsidRPr="001A0465">
        <w:rPr>
          <w:rFonts w:ascii="Arial" w:hAnsi="Arial"/>
          <w:sz w:val="24"/>
          <w:szCs w:val="24"/>
        </w:rPr>
        <w:t>of ASD</w:t>
      </w:r>
      <w:r w:rsidR="00743B9C" w:rsidRPr="001A0465">
        <w:rPr>
          <w:rFonts w:ascii="Arial" w:hAnsi="Arial"/>
          <w:sz w:val="24"/>
          <w:szCs w:val="24"/>
        </w:rPr>
        <w:t>’</w:t>
      </w:r>
      <w:r w:rsidR="00B94FE4" w:rsidRPr="001A0465">
        <w:rPr>
          <w:rFonts w:ascii="Arial" w:hAnsi="Arial"/>
          <w:sz w:val="24"/>
          <w:szCs w:val="24"/>
        </w:rPr>
        <w:t xml:space="preserve">s </w:t>
      </w:r>
      <w:r w:rsidRPr="001A0465">
        <w:rPr>
          <w:rFonts w:ascii="Arial" w:hAnsi="Arial"/>
          <w:sz w:val="24"/>
          <w:szCs w:val="24"/>
        </w:rPr>
        <w:t xml:space="preserve">customers. </w:t>
      </w:r>
      <w:r w:rsidR="006C2871" w:rsidRPr="001A0465">
        <w:rPr>
          <w:rFonts w:ascii="Arial" w:hAnsi="Arial"/>
          <w:sz w:val="24"/>
          <w:szCs w:val="24"/>
        </w:rPr>
        <w:t>Monroe</w:t>
      </w:r>
      <w:r w:rsidR="00B94FE4" w:rsidRPr="001A0465">
        <w:rPr>
          <w:rFonts w:ascii="Arial" w:hAnsi="Arial"/>
          <w:sz w:val="24"/>
          <w:szCs w:val="24"/>
        </w:rPr>
        <w:t xml:space="preserve"> </w:t>
      </w:r>
      <w:r w:rsidRPr="001A0465">
        <w:rPr>
          <w:rFonts w:ascii="Arial" w:hAnsi="Arial"/>
          <w:sz w:val="24"/>
          <w:szCs w:val="24"/>
        </w:rPr>
        <w:t xml:space="preserve">responded to the Motion to Compel, arguing that La. R.S. 47:1508 prohibited </w:t>
      </w:r>
      <w:r w:rsidR="00B94FE4" w:rsidRPr="001A0465">
        <w:rPr>
          <w:rFonts w:ascii="Arial" w:hAnsi="Arial"/>
          <w:sz w:val="24"/>
          <w:szCs w:val="24"/>
        </w:rPr>
        <w:t xml:space="preserve">disclosure </w:t>
      </w:r>
      <w:r w:rsidRPr="001A0465">
        <w:rPr>
          <w:rFonts w:ascii="Arial" w:hAnsi="Arial"/>
          <w:sz w:val="24"/>
          <w:szCs w:val="24"/>
        </w:rPr>
        <w:t xml:space="preserve">on privacy grounds. </w:t>
      </w:r>
      <w:r w:rsidR="00BE360A" w:rsidRPr="001A0465">
        <w:rPr>
          <w:rFonts w:ascii="Arial" w:hAnsi="Arial"/>
          <w:sz w:val="24"/>
          <w:szCs w:val="24"/>
        </w:rPr>
        <w:t>The Board is separately issuing its ruling on ASD</w:t>
      </w:r>
      <w:r w:rsidR="00743B9C" w:rsidRPr="001A0465">
        <w:rPr>
          <w:rFonts w:ascii="Arial" w:hAnsi="Arial"/>
          <w:sz w:val="24"/>
          <w:szCs w:val="24"/>
        </w:rPr>
        <w:t>’</w:t>
      </w:r>
      <w:r w:rsidR="00BE360A" w:rsidRPr="001A0465">
        <w:rPr>
          <w:rFonts w:ascii="Arial" w:hAnsi="Arial"/>
          <w:sz w:val="24"/>
          <w:szCs w:val="24"/>
        </w:rPr>
        <w:t>s Motion to Compel.</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5E99" w14:textId="77777777" w:rsidR="00813E59" w:rsidRDefault="00813E59" w:rsidP="001A04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627" w14:textId="77777777" w:rsidR="00813E59" w:rsidRDefault="00813E59" w:rsidP="001A04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9"/>
    <w:rsid w:val="000C251A"/>
    <w:rsid w:val="000C792E"/>
    <w:rsid w:val="00183BCB"/>
    <w:rsid w:val="001A0465"/>
    <w:rsid w:val="002A51AC"/>
    <w:rsid w:val="002B59E2"/>
    <w:rsid w:val="00374462"/>
    <w:rsid w:val="003862D1"/>
    <w:rsid w:val="00544106"/>
    <w:rsid w:val="00595EC3"/>
    <w:rsid w:val="0066447B"/>
    <w:rsid w:val="006C2871"/>
    <w:rsid w:val="00743B9C"/>
    <w:rsid w:val="007F06F0"/>
    <w:rsid w:val="00813E59"/>
    <w:rsid w:val="009915F8"/>
    <w:rsid w:val="00A47825"/>
    <w:rsid w:val="00B41BBA"/>
    <w:rsid w:val="00B45836"/>
    <w:rsid w:val="00B7453D"/>
    <w:rsid w:val="00B77CFE"/>
    <w:rsid w:val="00B94FE4"/>
    <w:rsid w:val="00B96076"/>
    <w:rsid w:val="00BE360A"/>
    <w:rsid w:val="00C34548"/>
    <w:rsid w:val="00C627B5"/>
    <w:rsid w:val="00CD01CF"/>
    <w:rsid w:val="00CF4DB9"/>
    <w:rsid w:val="00D406DC"/>
    <w:rsid w:val="00FB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3118"/>
  <w15:docId w15:val="{C3DF9AF6-BEC0-4C26-BDBE-D8477D95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line="480" w:lineRule="auto"/>
      <w:ind w:firstLine="720"/>
    </w:pPr>
    <w:rPr>
      <w:rFonts w:ascii="Arial" w:hAnsi="Arial" w:cs="Arial"/>
      <w:sz w:val="28"/>
      <w:szCs w:val="28"/>
    </w:rPr>
  </w:style>
  <w:style w:type="paragraph" w:styleId="Heading1">
    <w:name w:val="heading 1"/>
    <w:basedOn w:val="Normal"/>
    <w:next w:val="Normal"/>
    <w:link w:val="Heading1Char"/>
    <w:uiPriority w:val="9"/>
    <w:qFormat/>
    <w:rsid w:val="001A0465"/>
    <w:pPr>
      <w:ind w:firstLine="0"/>
      <w:outlineLvl w:val="0"/>
    </w:pPr>
    <w:rPr>
      <w:rFonts w:eastAsia="Calibri"/>
      <w:b/>
      <w:bCs/>
    </w:rPr>
  </w:style>
  <w:style w:type="paragraph" w:styleId="Heading2">
    <w:name w:val="heading 2"/>
    <w:basedOn w:val="Normal"/>
    <w:next w:val="Normal"/>
    <w:link w:val="Heading2Char"/>
    <w:uiPriority w:val="9"/>
    <w:unhideWhenUsed/>
    <w:qFormat/>
    <w:rsid w:val="001A046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DefaultPara0">
    <w:name w:val="Default Para_0"/>
    <w:basedOn w:val="DefaultParagraphFont"/>
  </w:style>
  <w:style w:type="paragraph" w:customStyle="1" w:styleId="Footer1">
    <w:name w:val="Footer1"/>
    <w:basedOn w:val="Normal"/>
    <w:pPr>
      <w:widowControl w:val="0"/>
      <w:tabs>
        <w:tab w:val="center" w:pos="4680"/>
        <w:tab w:val="right" w:pos="9359"/>
      </w:tabs>
    </w:pPr>
    <w:rPr>
      <w:rFonts w:ascii="Calibri" w:hAnsi="Calibri"/>
    </w:rPr>
  </w:style>
  <w:style w:type="character" w:customStyle="1" w:styleId="FooterChar">
    <w:name w:val="Footer Char"/>
    <w:basedOn w:val="DefaultParagraphFont"/>
    <w:uiPriority w:val="99"/>
  </w:style>
  <w:style w:type="character" w:customStyle="1" w:styleId="FootnoteRef">
    <w:name w:val="Footnote Ref"/>
    <w:basedOn w:val="DefaultParagraphFont"/>
    <w:rPr>
      <w:vertAlign w:val="superscript"/>
    </w:rPr>
  </w:style>
  <w:style w:type="character" w:styleId="FootnoteReference">
    <w:name w:val="footnote reference"/>
    <w:basedOn w:val="DefaultParagraphFont"/>
    <w:uiPriority w:val="99"/>
    <w:rPr>
      <w:vertAlign w:val="superscript"/>
    </w:rPr>
  </w:style>
  <w:style w:type="character" w:customStyle="1" w:styleId="footnotere1">
    <w:name w:val="footnote re1"/>
    <w:basedOn w:val="DefaultParagraphFont"/>
    <w:rPr>
      <w:vertAlign w:val="superscript"/>
    </w:rPr>
  </w:style>
  <w:style w:type="paragraph" w:customStyle="1" w:styleId="FootnoteTex">
    <w:name w:val="Footnote Tex"/>
    <w:basedOn w:val="Normal"/>
    <w:pPr>
      <w:widowControl w:val="0"/>
    </w:pPr>
    <w:rPr>
      <w:rFonts w:ascii="Calibri" w:hAnsi="Calibri"/>
      <w:sz w:val="20"/>
    </w:rPr>
  </w:style>
  <w:style w:type="paragraph" w:styleId="FootnoteText">
    <w:name w:val="footnote text"/>
    <w:basedOn w:val="Normal"/>
    <w:link w:val="FootnoteTextChar"/>
    <w:uiPriority w:val="99"/>
    <w:pPr>
      <w:widowControl w:val="0"/>
    </w:pPr>
    <w:rPr>
      <w:rFonts w:ascii="Calibri" w:hAnsi="Calibri"/>
      <w:sz w:val="20"/>
    </w:rPr>
  </w:style>
  <w:style w:type="paragraph" w:customStyle="1" w:styleId="footnotete1">
    <w:name w:val="footnote te1"/>
    <w:basedOn w:val="Normal"/>
    <w:pPr>
      <w:widowControl w:val="0"/>
    </w:pPr>
    <w:rPr>
      <w:rFonts w:ascii="Calibri" w:hAnsi="Calibri"/>
      <w:sz w:val="20"/>
    </w:rPr>
  </w:style>
  <w:style w:type="character" w:customStyle="1" w:styleId="FootnoteTex0">
    <w:name w:val="Footnote Tex_0"/>
    <w:basedOn w:val="DefaultParagraphFont"/>
    <w:rPr>
      <w:sz w:val="20"/>
    </w:rPr>
  </w:style>
  <w:style w:type="paragraph" w:customStyle="1" w:styleId="Header1">
    <w:name w:val="Header1"/>
    <w:basedOn w:val="Normal"/>
    <w:pPr>
      <w:widowControl w:val="0"/>
      <w:tabs>
        <w:tab w:val="center" w:pos="4680"/>
        <w:tab w:val="right" w:pos="9359"/>
      </w:tabs>
    </w:pPr>
    <w:rPr>
      <w:rFonts w:ascii="Calibri" w:hAnsi="Calibri"/>
    </w:rPr>
  </w:style>
  <w:style w:type="character" w:customStyle="1" w:styleId="HeaderChar">
    <w:name w:val="Header Char"/>
    <w:basedOn w:val="DefaultParagraphFont"/>
  </w:style>
  <w:style w:type="character" w:customStyle="1" w:styleId="WPHyperlink">
    <w:name w:val="WP_Hyperlink"/>
    <w:basedOn w:val="DefaultParagraphFont"/>
    <w:rPr>
      <w:color w:val="008080"/>
      <w:u w:val="single"/>
    </w:rPr>
  </w:style>
  <w:style w:type="paragraph" w:customStyle="1" w:styleId="ListParagra">
    <w:name w:val="List Paragra"/>
    <w:basedOn w:val="Normal"/>
    <w:pPr>
      <w:widowControl w:val="0"/>
      <w:ind w:left="720"/>
    </w:pPr>
    <w:rPr>
      <w:rFonts w:ascii="Calibri" w:hAnsi="Calibri"/>
    </w:rPr>
  </w:style>
  <w:style w:type="character" w:customStyle="1" w:styleId="NoList1">
    <w:name w:val="No List1"/>
    <w:basedOn w:val="DefaultParagraphFont"/>
  </w:style>
  <w:style w:type="character" w:customStyle="1" w:styleId="PageNumber1">
    <w:name w:val="Page Number1"/>
    <w:basedOn w:val="DefaultParagraphFont"/>
  </w:style>
  <w:style w:type="paragraph" w:customStyle="1" w:styleId="26">
    <w:name w:val="_26"/>
    <w:basedOn w:val="Normal"/>
    <w:pPr>
      <w:widowControl w:val="0"/>
    </w:pPr>
  </w:style>
  <w:style w:type="paragraph" w:customStyle="1" w:styleId="25">
    <w:name w:val="_25"/>
    <w:basedOn w:val="Normal"/>
    <w:pPr>
      <w:widowControl w:val="0"/>
      <w:ind w:left="1440" w:hanging="720"/>
    </w:pPr>
  </w:style>
  <w:style w:type="paragraph" w:customStyle="1" w:styleId="24">
    <w:name w:val="_24"/>
    <w:basedOn w:val="Normal"/>
    <w:pPr>
      <w:widowControl w:val="0"/>
      <w:ind w:left="2160"/>
    </w:pPr>
  </w:style>
  <w:style w:type="paragraph" w:customStyle="1" w:styleId="23">
    <w:name w:val="_23"/>
    <w:basedOn w:val="Normal"/>
    <w:pPr>
      <w:widowControl w:val="0"/>
      <w:ind w:left="2880"/>
    </w:pPr>
  </w:style>
  <w:style w:type="paragraph" w:customStyle="1" w:styleId="22">
    <w:name w:val="_22"/>
    <w:basedOn w:val="Normal"/>
    <w:pPr>
      <w:widowControl w:val="0"/>
      <w:ind w:left="3600"/>
    </w:pPr>
  </w:style>
  <w:style w:type="paragraph" w:customStyle="1" w:styleId="21">
    <w:name w:val="_21"/>
    <w:basedOn w:val="Normal"/>
    <w:pPr>
      <w:widowControl w:val="0"/>
      <w:ind w:left="4320"/>
    </w:pPr>
  </w:style>
  <w:style w:type="paragraph" w:customStyle="1" w:styleId="20">
    <w:name w:val="_20"/>
    <w:basedOn w:val="Normal"/>
    <w:pPr>
      <w:widowControl w:val="0"/>
      <w:ind w:left="5040"/>
    </w:pPr>
  </w:style>
  <w:style w:type="paragraph" w:customStyle="1" w:styleId="19">
    <w:name w:val="_19"/>
    <w:basedOn w:val="Normal"/>
    <w:pPr>
      <w:widowControl w:val="0"/>
      <w:ind w:left="5760"/>
    </w:pPr>
  </w:style>
  <w:style w:type="paragraph" w:customStyle="1" w:styleId="18">
    <w:name w:val="_18"/>
    <w:basedOn w:val="Normal"/>
    <w:pPr>
      <w:widowControl w:val="0"/>
      <w:ind w:left="6480"/>
    </w:pPr>
  </w:style>
  <w:style w:type="paragraph" w:customStyle="1" w:styleId="17">
    <w:name w:val="_17"/>
    <w:basedOn w:val="Normal"/>
    <w:pPr>
      <w:widowControl w:val="0"/>
    </w:pPr>
  </w:style>
  <w:style w:type="paragraph" w:customStyle="1" w:styleId="16">
    <w:name w:val="_16"/>
    <w:basedOn w:val="Normal"/>
    <w:pPr>
      <w:widowControl w:val="0"/>
      <w:ind w:left="1440" w:hanging="720"/>
    </w:pPr>
  </w:style>
  <w:style w:type="paragraph" w:customStyle="1" w:styleId="15">
    <w:name w:val="_15"/>
    <w:basedOn w:val="Normal"/>
    <w:pPr>
      <w:widowControl w:val="0"/>
      <w:ind w:left="2160"/>
    </w:pPr>
  </w:style>
  <w:style w:type="paragraph" w:customStyle="1" w:styleId="14">
    <w:name w:val="_14"/>
    <w:basedOn w:val="Normal"/>
    <w:pPr>
      <w:widowControl w:val="0"/>
      <w:ind w:left="2880"/>
    </w:pPr>
  </w:style>
  <w:style w:type="paragraph" w:customStyle="1" w:styleId="13">
    <w:name w:val="_13"/>
    <w:basedOn w:val="Normal"/>
    <w:pPr>
      <w:widowControl w:val="0"/>
      <w:ind w:left="3600"/>
    </w:pPr>
  </w:style>
  <w:style w:type="paragraph" w:customStyle="1" w:styleId="12">
    <w:name w:val="_12"/>
    <w:basedOn w:val="Normal"/>
    <w:pPr>
      <w:widowControl w:val="0"/>
      <w:ind w:left="4320"/>
    </w:pPr>
  </w:style>
  <w:style w:type="paragraph" w:customStyle="1" w:styleId="11">
    <w:name w:val="_11"/>
    <w:basedOn w:val="Normal"/>
    <w:pPr>
      <w:widowControl w:val="0"/>
      <w:ind w:left="5040"/>
    </w:pPr>
  </w:style>
  <w:style w:type="paragraph" w:customStyle="1" w:styleId="10">
    <w:name w:val="_10"/>
    <w:basedOn w:val="Normal"/>
    <w:pPr>
      <w:widowControl w:val="0"/>
      <w:ind w:left="5760"/>
    </w:pPr>
  </w:style>
  <w:style w:type="paragraph" w:customStyle="1" w:styleId="9">
    <w:name w:val="_9"/>
    <w:basedOn w:val="Normal"/>
    <w:pPr>
      <w:widowControl w:val="0"/>
      <w:ind w:left="6480"/>
    </w:pPr>
  </w:style>
  <w:style w:type="paragraph" w:customStyle="1" w:styleId="8">
    <w:name w:val="_8"/>
    <w:basedOn w:val="Normal"/>
    <w:pPr>
      <w:widowControl w:val="0"/>
    </w:pPr>
  </w:style>
  <w:style w:type="paragraph" w:customStyle="1" w:styleId="7">
    <w:name w:val="_7"/>
    <w:basedOn w:val="Normal"/>
    <w:pPr>
      <w:widowControl w:val="0"/>
      <w:ind w:left="1440" w:hanging="720"/>
    </w:pPr>
  </w:style>
  <w:style w:type="paragraph" w:customStyle="1" w:styleId="6">
    <w:name w:val="_6"/>
    <w:basedOn w:val="Normal"/>
    <w:pPr>
      <w:widowControl w:val="0"/>
      <w:ind w:left="2160"/>
    </w:pPr>
  </w:style>
  <w:style w:type="paragraph" w:customStyle="1" w:styleId="5">
    <w:name w:val="_5"/>
    <w:basedOn w:val="Normal"/>
    <w:pPr>
      <w:widowControl w:val="0"/>
      <w:ind w:left="2880"/>
    </w:pPr>
  </w:style>
  <w:style w:type="paragraph" w:customStyle="1" w:styleId="4">
    <w:name w:val="_4"/>
    <w:basedOn w:val="Normal"/>
    <w:pPr>
      <w:widowControl w:val="0"/>
      <w:ind w:left="3600"/>
    </w:pPr>
  </w:style>
  <w:style w:type="paragraph" w:customStyle="1" w:styleId="3">
    <w:name w:val="_3"/>
    <w:basedOn w:val="Normal"/>
    <w:pPr>
      <w:widowControl w:val="0"/>
      <w:ind w:left="4320"/>
    </w:pPr>
  </w:style>
  <w:style w:type="paragraph" w:customStyle="1" w:styleId="2">
    <w:name w:val="_2"/>
    <w:basedOn w:val="Normal"/>
    <w:pPr>
      <w:widowControl w:val="0"/>
      <w:ind w:left="5040"/>
    </w:pPr>
  </w:style>
  <w:style w:type="paragraph" w:customStyle="1" w:styleId="1">
    <w:name w:val="_1"/>
    <w:basedOn w:val="Normal"/>
    <w:pPr>
      <w:widowControl w:val="0"/>
      <w:ind w:left="5760"/>
    </w:pPr>
  </w:style>
  <w:style w:type="paragraph" w:customStyle="1" w:styleId="a">
    <w:name w:val="_"/>
    <w:basedOn w:val="Normal"/>
    <w:pPr>
      <w:widowControl w:val="0"/>
      <w:ind w:left="6480"/>
    </w:pPr>
  </w:style>
  <w:style w:type="paragraph" w:styleId="Header">
    <w:name w:val="header"/>
    <w:basedOn w:val="Normal"/>
    <w:link w:val="HeaderChar1"/>
    <w:uiPriority w:val="99"/>
    <w:unhideWhenUsed/>
    <w:rsid w:val="00544106"/>
    <w:pPr>
      <w:tabs>
        <w:tab w:val="clear" w:pos="9359"/>
        <w:tab w:val="center" w:pos="4680"/>
        <w:tab w:val="right" w:pos="9360"/>
      </w:tabs>
    </w:pPr>
  </w:style>
  <w:style w:type="character" w:customStyle="1" w:styleId="HeaderChar1">
    <w:name w:val="Header Char1"/>
    <w:basedOn w:val="DefaultParagraphFont"/>
    <w:link w:val="Header"/>
    <w:uiPriority w:val="99"/>
    <w:rsid w:val="00544106"/>
    <w:rPr>
      <w:sz w:val="24"/>
    </w:rPr>
  </w:style>
  <w:style w:type="paragraph" w:styleId="Footer">
    <w:name w:val="footer"/>
    <w:basedOn w:val="Normal"/>
    <w:link w:val="FooterChar1"/>
    <w:uiPriority w:val="99"/>
    <w:unhideWhenUsed/>
    <w:rsid w:val="00544106"/>
    <w:pPr>
      <w:tabs>
        <w:tab w:val="clear" w:pos="9359"/>
        <w:tab w:val="center" w:pos="4680"/>
        <w:tab w:val="right" w:pos="9360"/>
      </w:tabs>
    </w:pPr>
  </w:style>
  <w:style w:type="character" w:customStyle="1" w:styleId="FooterChar1">
    <w:name w:val="Footer Char1"/>
    <w:basedOn w:val="DefaultParagraphFont"/>
    <w:link w:val="Footer"/>
    <w:uiPriority w:val="99"/>
    <w:rsid w:val="00544106"/>
    <w:rPr>
      <w:sz w:val="24"/>
    </w:rPr>
  </w:style>
  <w:style w:type="character" w:customStyle="1" w:styleId="FootnoteTextChar">
    <w:name w:val="Footnote Text Char"/>
    <w:basedOn w:val="DefaultParagraphFont"/>
    <w:link w:val="FootnoteText"/>
    <w:uiPriority w:val="99"/>
    <w:rsid w:val="00544106"/>
    <w:rPr>
      <w:rFonts w:ascii="Calibri" w:hAnsi="Calibri"/>
    </w:rPr>
  </w:style>
  <w:style w:type="character" w:customStyle="1" w:styleId="Heading2Char">
    <w:name w:val="Heading 2 Char"/>
    <w:basedOn w:val="DefaultParagraphFont"/>
    <w:link w:val="Heading2"/>
    <w:uiPriority w:val="9"/>
    <w:rsid w:val="001A0465"/>
    <w:rPr>
      <w:rFonts w:ascii="Arial" w:hAnsi="Arial" w:cs="Arial"/>
      <w:b/>
      <w:bCs/>
      <w:sz w:val="28"/>
      <w:szCs w:val="28"/>
    </w:rPr>
  </w:style>
  <w:style w:type="character" w:customStyle="1" w:styleId="Heading1Char">
    <w:name w:val="Heading 1 Char"/>
    <w:basedOn w:val="DefaultParagraphFont"/>
    <w:link w:val="Heading1"/>
    <w:uiPriority w:val="9"/>
    <w:rsid w:val="001A0465"/>
    <w:rPr>
      <w:rFonts w:ascii="Arial" w:eastAsia="Calibri"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81F4-4581-463F-86D0-863ED882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1328</Words>
  <Characters>6834</Characters>
  <Application>Microsoft Office Word</Application>
  <DocSecurity>0</DocSecurity>
  <Lines>151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Bardwell</dc:creator>
  <cp:lastModifiedBy>Michael Bardwell</cp:lastModifiedBy>
  <cp:revision>3</cp:revision>
  <cp:lastPrinted>2026-02-18T19:33:00Z</cp:lastPrinted>
  <dcterms:created xsi:type="dcterms:W3CDTF">2026-04-08T18:37:00Z</dcterms:created>
  <dcterms:modified xsi:type="dcterms:W3CDTF">2026-04-08T18:39:00Z</dcterms:modified>
</cp:coreProperties>
</file>